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ind w:firstLine="0"/>
        <w:jc w:val="center"/>
        <w:keepLines w:val="0"/>
        <w:keepNext w:val="0"/>
        <w:pageBreakBefore w:val="0"/>
        <w:spacing w:before="600"/>
        <w:widowControl w:val="off"/>
        <w:rPr>
          <w:rFonts w:hint="eastAsia" w:ascii="宋体" w:hAnsi="宋体" w:eastAsia="宋体" w:cs="宋体"/>
          <w:b/>
          <w:color w:val="auto"/>
          <w:sz w:val="52"/>
          <w:szCs w:val="52"/>
        </w:rPr>
      </w:pPr>
      <w:r>
        <w:rPr>
          <w:rFonts w:hint="eastAsia" w:ascii="宋体" w:hAnsi="宋体" w:eastAsia="宋体" w:cs="宋体"/>
          <w:b/>
          <w:bCs/>
          <w:color w:val="auto"/>
          <w:spacing w:val="80"/>
          <w:sz w:val="72"/>
          <w:szCs w:val="72"/>
        </w:rPr>
        <w:t xml:space="preserve">连云港市政府采购</w:t>
      </w:r>
      <w:r/>
    </w:p>
    <w:p>
      <w:pPr>
        <w:pStyle w:val="990"/>
        <w:ind w:firstLine="0"/>
        <w:jc w:val="both"/>
        <w:tabs>
          <w:tab w:val="left" w:pos="6510" w:leader="none"/>
        </w:tabs>
        <w:rPr>
          <w:rFonts w:hint="eastAsia" w:ascii="宋体" w:hAnsi="宋体" w:eastAsia="宋体" w:cs="宋体"/>
          <w:b/>
          <w:bCs/>
          <w:color w:val="auto"/>
          <w:spacing w:val="80"/>
          <w:sz w:val="72"/>
          <w:szCs w:val="72"/>
        </w:rPr>
      </w:pPr>
      <w:r>
        <w:rPr>
          <w:rFonts w:hint="eastAsia" w:ascii="宋体" w:hAnsi="宋体" w:eastAsia="宋体" w:cs="宋体"/>
          <w:b/>
          <w:bCs/>
          <w:color w:val="auto"/>
          <w:spacing w:val="80"/>
          <w:sz w:val="72"/>
          <w:szCs w:val="72"/>
        </w:rPr>
      </w:r>
      <w:r/>
    </w:p>
    <w:p>
      <w:pPr>
        <w:pStyle w:val="990"/>
        <w:ind w:firstLine="0"/>
        <w:jc w:val="center"/>
        <w:rPr>
          <w:rFonts w:hint="eastAsia" w:ascii="宋体" w:hAnsi="宋体" w:eastAsia="宋体" w:cs="宋体"/>
          <w:b/>
          <w:bCs/>
          <w:color w:val="auto"/>
          <w:sz w:val="32"/>
          <w:szCs w:val="32"/>
        </w:rPr>
        <w:outlineLvl w:val="0"/>
      </w:pPr>
      <w:r/>
      <w:bookmarkStart w:id="0" w:name="_Toc15935"/>
      <w:r/>
      <w:bookmarkStart w:id="1" w:name="_Toc32059"/>
      <w:r/>
      <w:bookmarkStart w:id="2" w:name="_Toc26512"/>
      <w:r/>
      <w:bookmarkStart w:id="3" w:name="_Toc13869"/>
      <w:r/>
      <w:bookmarkStart w:id="4" w:name="_Toc32457"/>
      <w:r/>
      <w:bookmarkStart w:id="5" w:name="_Toc923"/>
      <w:r/>
      <w:bookmarkStart w:id="6" w:name="_Toc10296"/>
      <w:r/>
      <w:bookmarkStart w:id="7" w:name="_Toc29285"/>
      <w:r>
        <w:rPr>
          <w:rFonts w:hint="eastAsia" w:ascii="宋体" w:hAnsi="宋体" w:eastAsia="宋体" w:cs="宋体"/>
          <w:b/>
          <w:bCs/>
          <w:color w:val="auto"/>
          <w:sz w:val="72"/>
          <w:szCs w:val="72"/>
        </w:rPr>
        <w:t xml:space="preserve">竞争性磋商文件</w:t>
      </w:r>
      <w:bookmarkEnd w:id="0"/>
      <w:r/>
      <w:bookmarkEnd w:id="1"/>
      <w:r/>
      <w:bookmarkEnd w:id="2"/>
      <w:r/>
      <w:bookmarkEnd w:id="3"/>
      <w:r/>
      <w:bookmarkEnd w:id="4"/>
      <w:r/>
      <w:bookmarkEnd w:id="5"/>
      <w:r/>
      <w:bookmarkEnd w:id="6"/>
      <w:r/>
      <w:bookmarkEnd w:id="7"/>
      <w:r/>
      <w:r/>
    </w:p>
    <w:p>
      <w:pPr>
        <w:pStyle w:val="990"/>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990"/>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tbl>
      <w:tblPr>
        <w:tblStyle w:val="711"/>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rPr>
            </w:pPr>
            <w:r>
              <w:rPr>
                <w:rFonts w:hint="eastAsia" w:ascii="宋体" w:hAnsi="宋体" w:eastAsia="宋体" w:cs="宋体"/>
                <w:b/>
                <w:bCs/>
                <w:color w:val="auto"/>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spacing w:line="360" w:lineRule="auto"/>
              <w:rPr>
                <w:rFonts w:hint="eastAsia" w:ascii="宋体" w:hAnsi="宋体" w:eastAsia="宋体" w:cs="宋体"/>
                <w:b/>
                <w:bCs/>
                <w:color w:val="auto"/>
                <w:spacing w:val="16"/>
                <w:sz w:val="32"/>
                <w:szCs w:val="32"/>
                <w:lang w:eastAsia="zh-CN"/>
              </w:rPr>
            </w:pPr>
            <w:r>
              <w:rPr>
                <w:rFonts w:hint="eastAsia" w:ascii="宋体" w:hAnsi="宋体" w:cs="宋体"/>
                <w:b/>
                <w:bCs/>
                <w:color w:val="auto"/>
                <w:sz w:val="32"/>
                <w:lang w:eastAsia="zh-CN"/>
              </w:rPr>
              <w:t xml:space="preserve">连云港市苍梧小学教育集团第三小学消防设施维修</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spacing w:line="360" w:lineRule="auto"/>
              <w:rPr>
                <w:rFonts w:hint="eastAsia" w:ascii="宋体" w:hAnsi="宋体" w:eastAsia="宋体" w:cs="宋体"/>
                <w:i w:val="0"/>
                <w:iCs w:val="0"/>
                <w:caps w:val="0"/>
                <w:color w:val="auto"/>
                <w:spacing w:val="0"/>
                <w:sz w:val="21"/>
                <w:szCs w:val="21"/>
                <w:lang w:val="en-US" w:eastAsia="zh-CN" w:bidi="ar-SA"/>
              </w:rPr>
            </w:pPr>
            <w:r>
              <w:rPr>
                <w:rFonts w:hint="eastAsia" w:ascii="宋体" w:hAnsi="宋体" w:cs="宋体"/>
                <w:b/>
                <w:bCs/>
                <w:color w:val="auto"/>
                <w:sz w:val="32"/>
                <w:lang w:val="en-US" w:eastAsia="zh-CN"/>
              </w:rPr>
            </w:r>
            <w:r>
              <w:rPr>
                <w:rFonts w:hint="eastAsia" w:ascii="宋体" w:hAnsi="宋体" w:cs="宋体"/>
                <w:b/>
                <w:bCs/>
                <w:color w:val="auto"/>
                <w:sz w:val="32"/>
                <w:lang w:val="en-US" w:eastAsia="zh-CN"/>
              </w:rPr>
              <w:t xml:space="preserve">JSZC-320700-RHHH-C2025-0167</w:t>
            </w:r>
            <w:r>
              <w:rPr>
                <w:rFonts w:hint="eastAsia" w:ascii="宋体" w:hAnsi="宋体" w:cs="宋体"/>
                <w:b/>
                <w:bCs/>
                <w:color w:val="auto"/>
                <w:sz w:val="32"/>
                <w:lang w:val="en-US" w:eastAsia="zh-CN"/>
              </w:rPr>
            </w:r>
            <w:r/>
          </w:p>
        </w:tc>
      </w:tr>
    </w:tbl>
    <w:p>
      <w:pPr>
        <w:rPr>
          <w:rFonts w:hint="eastAsia"/>
          <w:color w:val="auto"/>
        </w:rPr>
      </w:pPr>
      <w:r>
        <w:rPr>
          <w:rFonts w:hint="eastAsia"/>
          <w:color w:val="auto"/>
        </w:rPr>
      </w:r>
      <w:r/>
    </w:p>
    <w:p>
      <w:pPr>
        <w:pStyle w:val="990"/>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990"/>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711"/>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spacing w:line="360" w:lineRule="auto"/>
              <w:rPr>
                <w:rFonts w:hint="eastAsia" w:ascii="宋体" w:hAnsi="宋体" w:eastAsia="宋体" w:cs="宋体"/>
                <w:color w:val="auto"/>
              </w:rPr>
            </w:pPr>
            <w:r/>
            <w:bookmarkStart w:id="8" w:name="OLE_LINK4"/>
            <w:r/>
            <w:bookmarkStart w:id="9" w:name="OLE_LINK31"/>
            <w:r>
              <w:rPr>
                <w:rFonts w:hint="eastAsia" w:ascii="宋体" w:hAnsi="宋体" w:eastAsia="宋体" w:cs="宋体"/>
                <w:b/>
                <w:bCs/>
                <w:color w:val="auto"/>
                <w:sz w:val="32"/>
              </w:rPr>
              <w:t xml:space="preserve">采   购   人：</w:t>
            </w:r>
            <w:bookmarkEnd w:id="8"/>
            <w:r/>
            <w:bookmarkEnd w:id="9"/>
            <w:r/>
            <w:r/>
          </w:p>
        </w:tc>
        <w:tc>
          <w:tcPr>
            <w:tcW w:w="6433" w:type="dxa"/>
            <w:vAlign w:val="center"/>
            <w:textDirection w:val="lrTb"/>
            <w:noWrap w:val="false"/>
          </w:tcPr>
          <w:p>
            <w:pPr>
              <w:pStyle w:val="725"/>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lang w:eastAsia="zh-CN"/>
              </w:rPr>
              <w:t xml:space="preserve">连云港市苍梧小学教育集团第三小学</w:t>
            </w:r>
            <w:r/>
          </w:p>
        </w:tc>
      </w:tr>
      <w:tr>
        <w:trPr>
          <w:trHeight w:val="797"/>
        </w:trPr>
        <w:tc>
          <w:tcPr>
            <w:tcW w:w="2467"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b/>
                <w:bCs/>
                <w:color w:val="auto"/>
                <w:sz w:val="32"/>
              </w:rPr>
              <w:t xml:space="preserve">采购代理机构：</w:t>
            </w:r>
            <w:r/>
          </w:p>
        </w:tc>
        <w:tc>
          <w:tcPr>
            <w:tcW w:w="6433" w:type="dxa"/>
            <w:vAlign w:val="center"/>
            <w:textDirection w:val="lrTb"/>
            <w:noWrap w:val="false"/>
          </w:tcPr>
          <w:p>
            <w:pPr>
              <w:pStyle w:val="725"/>
              <w:spacing w:line="36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pacing w:val="20"/>
                <w:sz w:val="32"/>
                <w:lang w:eastAsia="zh-CN"/>
              </w:rPr>
              <w:t xml:space="preserve">江苏仁禾中衡工程咨询房地产估价有限公司</w:t>
            </w:r>
            <w:r/>
          </w:p>
        </w:tc>
      </w:tr>
    </w:tbl>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tbl>
      <w:tblPr>
        <w:tblStyle w:val="711"/>
        <w:tblW w:w="0" w:type="auto"/>
        <w:jc w:val="center"/>
        <w:tblLayout w:type="fixed"/>
        <w:tblCellMar>
          <w:left w:w="108" w:type="dxa"/>
          <w:top w:w="0" w:type="dxa"/>
          <w:right w:w="108" w:type="dxa"/>
          <w:bottom w:w="0" w:type="dxa"/>
        </w:tblCellMar>
        <w:tblLook w:val="04A0" w:firstRow="1" w:lastRow="0" w:firstColumn="1" w:lastColumn="0" w:noHBand="0" w:noVBand="1"/>
      </w:tblPr>
      <w:tblGrid>
        <w:gridCol w:w="4380"/>
      </w:tblGrid>
      <w:tr>
        <w:trPr>
          <w:jc w:val="center"/>
          <w:trHeight w:val="765"/>
        </w:trPr>
        <w:tc>
          <w:tcPr>
            <w:tcBorders>
              <w:top w:val="none" w:color="000000" w:sz="4" w:space="0"/>
              <w:left w:val="none" w:color="000000" w:sz="4" w:space="0"/>
              <w:bottom w:val="none" w:color="000000" w:sz="4" w:space="0"/>
              <w:right w:val="none" w:color="000000" w:sz="4" w:space="0"/>
            </w:tcBorders>
            <w:tcW w:w="4380" w:type="dxa"/>
            <w:textDirection w:val="lrTb"/>
            <w:noWrap w:val="false"/>
          </w:tcPr>
          <w:p>
            <w:pPr>
              <w:pStyle w:val="725"/>
              <w:jc w:val="center"/>
              <w:spacing w:line="360" w:lineRule="auto"/>
              <w:rPr>
                <w:rFonts w:hint="eastAsia" w:ascii="宋体" w:hAnsi="宋体" w:eastAsia="宋体" w:cs="宋体"/>
                <w:b/>
                <w:color w:val="auto"/>
                <w:sz w:val="32"/>
                <w:szCs w:val="32"/>
              </w:rPr>
            </w:pPr>
            <w:r/>
            <w:bookmarkStart w:id="10" w:name="OLE_LINK12"/>
            <w:r/>
            <w:bookmarkStart w:id="11" w:name="OLE_LINK35"/>
            <w:r>
              <w:rPr>
                <w:rFonts w:hint="eastAsia" w:ascii="宋体" w:hAnsi="宋体" w:eastAsia="宋体" w:cs="宋体"/>
                <w:b/>
                <w:color w:val="auto"/>
                <w:sz w:val="32"/>
                <w:szCs w:val="32"/>
              </w:rPr>
              <w:t xml:space="preserve">202</w:t>
            </w:r>
            <w:r>
              <w:rPr>
                <w:rFonts w:hint="eastAsia" w:ascii="宋体" w:hAnsi="宋体" w:eastAsia="宋体" w:cs="宋体"/>
                <w:b/>
                <w:color w:val="auto"/>
                <w:sz w:val="32"/>
                <w:szCs w:val="32"/>
                <w:lang w:val="en-US" w:eastAsia="zh-CN"/>
              </w:rPr>
              <w:t xml:space="preserve">5</w:t>
            </w:r>
            <w:r>
              <w:rPr>
                <w:rFonts w:hint="eastAsia" w:ascii="宋体" w:hAnsi="宋体" w:eastAsia="宋体" w:cs="宋体"/>
                <w:b/>
                <w:color w:val="auto"/>
                <w:sz w:val="32"/>
                <w:szCs w:val="32"/>
              </w:rPr>
              <w:t xml:space="preserve">年</w:t>
            </w:r>
            <w:r>
              <w:rPr>
                <w:rFonts w:hint="eastAsia" w:ascii="宋体" w:hAnsi="宋体" w:eastAsia="宋体" w:cs="宋体"/>
                <w:b/>
                <w:color w:val="auto"/>
                <w:sz w:val="32"/>
                <w:szCs w:val="32"/>
                <w:lang w:val="en-US" w:eastAsia="zh-CN"/>
              </w:rPr>
              <w:t xml:space="preserve"> 12</w:t>
            </w:r>
            <w:r>
              <w:rPr>
                <w:rFonts w:hint="eastAsia" w:ascii="宋体" w:hAnsi="宋体" w:eastAsia="宋体" w:cs="宋体"/>
                <w:b/>
                <w:color w:val="auto"/>
                <w:sz w:val="32"/>
                <w:szCs w:val="32"/>
              </w:rPr>
              <w:t xml:space="preserve">月</w:t>
            </w:r>
            <w:bookmarkEnd w:id="10"/>
            <w:r/>
            <w:bookmarkEnd w:id="11"/>
            <w:r/>
            <w:r/>
          </w:p>
          <w:p>
            <w:pPr>
              <w:pStyle w:val="725"/>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tc>
      </w:tr>
    </w:tbl>
    <w:p>
      <w:pPr>
        <w:pStyle w:val="725"/>
        <w:jc w:val="left"/>
        <w:spacing w:line="360" w:lineRule="auto"/>
        <w:rPr>
          <w:rFonts w:hint="eastAsia" w:ascii="宋体" w:hAnsi="宋体" w:eastAsia="宋体" w:cs="宋体"/>
          <w:b/>
          <w:color w:val="auto"/>
          <w:sz w:val="32"/>
          <w:szCs w:val="32"/>
        </w:rPr>
        <w:sectPr>
          <w:footerReference w:type="default" r:id="rId9"/>
          <w:footerReference w:type="first" r:id="rId10"/>
          <w:footnotePr/>
          <w:endnotePr/>
          <w:type w:val="nextPage"/>
          <w:pgSz w:w="11906" w:h="16838" w:orient="portrait"/>
          <w:pgMar w:top="1247" w:right="1134" w:bottom="1021" w:left="1361" w:header="1021" w:footer="964" w:gutter="0"/>
          <w:pgNumType w:start="1"/>
          <w:cols w:num="1" w:sep="0" w:space="1701" w:equalWidth="1"/>
          <w:docGrid w:linePitch="360"/>
        </w:sectPr>
      </w:pPr>
      <w:r>
        <w:rPr>
          <w:rFonts w:hint="eastAsia" w:ascii="宋体" w:hAnsi="宋体" w:eastAsia="宋体" w:cs="宋体"/>
          <w:b/>
          <w:color w:val="auto"/>
          <w:sz w:val="32"/>
          <w:szCs w:val="32"/>
        </w:rPr>
      </w:r>
      <w:r/>
    </w:p>
    <w:p>
      <w:pPr>
        <w:ind w:left="0" w:right="0" w:firstLine="0"/>
        <w:jc w:val="center"/>
        <w:spacing w:before="0" w:after="0" w:line="240" w:lineRule="auto"/>
        <w:rPr>
          <w:rFonts w:hint="default" w:ascii="宋体" w:hAnsi="宋体" w:eastAsia="宋体" w:cs="Times New Roman"/>
          <w:b/>
          <w:bCs/>
          <w:color w:val="auto"/>
          <w:sz w:val="28"/>
          <w:szCs w:val="28"/>
          <w:lang w:val="en-US" w:eastAsia="zh-CN" w:bidi="ar-SA"/>
        </w:rPr>
      </w:pPr>
      <w:r>
        <w:rPr>
          <w:rFonts w:hint="default" w:ascii="宋体" w:hAnsi="宋体" w:eastAsia="宋体" w:cs="Times New Roman"/>
          <w:b/>
          <w:bCs/>
          <w:color w:val="auto"/>
          <w:sz w:val="28"/>
          <w:szCs w:val="28"/>
          <w:lang w:val="en-US" w:eastAsia="zh-CN" w:bidi="ar-SA"/>
        </w:rPr>
      </w:r>
      <w:r/>
    </w:p>
    <w:sdt>
      <w:sdtPr>
        <w15:appearance w15:val="boundingBox"/>
        <w15:color w:val="dbdbdb"/>
        <w:id w:val="147451450"/>
        <w:docPartObj>
          <w:docPartGallery w:val="Table of Contents"/>
          <w:docPartUnique w:val="true"/>
        </w:docPartObj>
        <w:rPr>
          <w:rFonts w:hint="default" w:ascii="宋体" w:hAnsi="宋体" w:eastAsia="宋体" w:cs="Times New Roman"/>
          <w:b/>
          <w:bCs/>
          <w:color w:val="auto"/>
          <w:sz w:val="28"/>
          <w:szCs w:val="28"/>
          <w:lang w:val="en-US" w:eastAsia="zh-CN" w:bidi="ar-SA"/>
        </w:rPr>
      </w:sdtPr>
      <w:sdtContent>
        <w:p>
          <w:pPr>
            <w:ind w:left="0" w:right="0" w:firstLine="0"/>
            <w:jc w:val="center"/>
            <w:spacing w:before="0" w:after="0" w:line="240" w:lineRule="auto"/>
            <w:rPr>
              <w:b/>
              <w:bCs/>
              <w:color w:val="auto"/>
              <w:sz w:val="28"/>
              <w:szCs w:val="28"/>
            </w:rPr>
          </w:pPr>
          <w:r>
            <w:rPr>
              <w:rFonts w:ascii="宋体" w:hAnsi="宋体" w:eastAsia="宋体"/>
              <w:b/>
              <w:bCs/>
              <w:color w:val="auto"/>
              <w:sz w:val="28"/>
              <w:szCs w:val="28"/>
            </w:rPr>
            <w:t xml:space="preserve">目录</w:t>
          </w:r>
          <w:r/>
        </w:p>
        <w:p>
          <w:pPr>
            <w:pStyle w:val="964"/>
            <w:tabs>
              <w:tab w:val="right" w:pos="9411" w:leader="dot"/>
            </w:tabs>
            <w:rPr>
              <w:color w:val="auto"/>
            </w:rPr>
          </w:pPr>
          <w:r>
            <w:rPr>
              <w:rFonts w:hint="eastAsia" w:ascii="宋体" w:hAnsi="宋体" w:eastAsia="宋体" w:cs="宋体"/>
              <w:color w:val="auto"/>
              <w:sz w:val="56"/>
              <w:szCs w:val="56"/>
            </w:rPr>
            <w:fldChar w:fldCharType="begin"/>
          </w:r>
          <w:r>
            <w:rPr>
              <w:rFonts w:hint="eastAsia" w:ascii="宋体" w:hAnsi="宋体" w:eastAsia="宋体" w:cs="宋体"/>
              <w:color w:val="auto"/>
              <w:sz w:val="56"/>
              <w:szCs w:val="56"/>
            </w:rPr>
            <w:instrText xml:space="preserve">TOC \o "1-1" \h \u </w:instrText>
          </w:r>
          <w:r>
            <w:rPr>
              <w:rFonts w:hint="eastAsia" w:ascii="宋体" w:hAnsi="宋体" w:eastAsia="宋体" w:cs="宋体"/>
              <w:color w:val="auto"/>
              <w:sz w:val="56"/>
              <w:szCs w:val="56"/>
            </w:rPr>
            <w:fldChar w:fldCharType="separate"/>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_Toc19802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第一章 竞争性磋商采购公告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_Toc19802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_Toc21398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第二章 磋商须知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_Toc21398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_Toc27686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第三章 合同条款及格式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4</w:t>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_Toc24477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第四章 技术标准和要求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_Toc24477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59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_Toc20724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第五章 工程量清单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_Toc20724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60</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_Toc20526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第六章 图纸和技术资料</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_Toc20526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_Toc30065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第七章 评审方法和评审标准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_Toc30065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4"/>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_Toc1731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第八章 竞争性磋商响应文件格式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_Toc1731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4"/>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Cs w:val="56"/>
            </w:rPr>
            <w:fldChar w:fldCharType="end"/>
          </w:r>
          <w:r/>
        </w:p>
      </w:sdtContent>
    </w:sdt>
    <w:p>
      <w:pPr>
        <w:pStyle w:val="964"/>
        <w:spacing w:line="480" w:lineRule="auto"/>
        <w:tabs>
          <w:tab w:val="left" w:pos="6595" w:leader="none"/>
        </w:tabs>
        <w:rPr>
          <w:rFonts w:hint="eastAsia" w:ascii="宋体" w:hAnsi="宋体" w:eastAsia="宋体" w:cs="宋体"/>
          <w:color w:val="auto"/>
          <w:sz w:val="56"/>
          <w:szCs w:val="56"/>
          <w:lang w:eastAsia="zh-CN"/>
        </w:rPr>
      </w:pPr>
      <w:r>
        <w:rPr>
          <w:rFonts w:hint="eastAsia" w:ascii="宋体" w:hAnsi="宋体" w:cs="宋体"/>
          <w:color w:val="auto"/>
          <w:sz w:val="56"/>
          <w:szCs w:val="56"/>
          <w:lang w:eastAsia="zh-CN"/>
        </w:rPr>
        <w:tab/>
      </w:r>
      <w:r/>
    </w:p>
    <w:p>
      <w:pPr>
        <w:pStyle w:val="964"/>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964"/>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964"/>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701"/>
        <w:jc w:val="center"/>
        <w:spacing w:line="360" w:lineRule="auto"/>
        <w:rPr>
          <w:rFonts w:hint="eastAsia" w:ascii="宋体" w:hAnsi="宋体" w:eastAsia="宋体" w:cs="宋体"/>
          <w:b/>
          <w:bCs/>
          <w:color w:val="auto"/>
          <w:sz w:val="40"/>
          <w:szCs w:val="40"/>
        </w:rPr>
      </w:pPr>
      <w:r/>
      <w:bookmarkStart w:id="12" w:name="_Toc13410"/>
      <w:r/>
      <w:bookmarkStart w:id="13" w:name="_Toc28787"/>
      <w:r/>
      <w:bookmarkStart w:id="14" w:name="_Toc4781"/>
      <w:r/>
      <w:bookmarkStart w:id="15" w:name="_Toc26128"/>
      <w:r/>
      <w:bookmarkStart w:id="16" w:name="_Toc13471"/>
      <w:r/>
      <w:bookmarkStart w:id="17" w:name="_Toc4298"/>
      <w:r/>
      <w:bookmarkStart w:id="18" w:name="_Toc19802"/>
      <w:r/>
      <w:bookmarkStart w:id="19" w:name="_Toc18883"/>
      <w:r/>
      <w:bookmarkStart w:id="20" w:name="_Toc31075"/>
      <w:r>
        <w:rPr>
          <w:rFonts w:hint="eastAsia" w:ascii="宋体" w:hAnsi="宋体" w:eastAsia="宋体" w:cs="宋体"/>
          <w:b/>
          <w:bCs/>
          <w:color w:val="auto"/>
          <w:sz w:val="40"/>
          <w:szCs w:val="40"/>
        </w:rPr>
        <w:t xml:space="preserve">第一章 竞争性磋商采购公告</w:t>
      </w:r>
      <w:bookmarkEnd w:id="12"/>
      <w:r/>
      <w:bookmarkEnd w:id="13"/>
      <w:r/>
      <w:bookmarkEnd w:id="14"/>
      <w:r/>
      <w:bookmarkEnd w:id="15"/>
      <w:r/>
      <w:bookmarkEnd w:id="16"/>
      <w:r/>
      <w:bookmarkEnd w:id="17"/>
      <w:r/>
      <w:bookmarkEnd w:id="18"/>
      <w:r/>
      <w:bookmarkEnd w:id="19"/>
      <w:r/>
      <w:bookmarkEnd w:id="20"/>
      <w:r/>
      <w:r/>
    </w:p>
    <w:p>
      <w:pPr>
        <w:spacing w:line="360" w:lineRule="auto"/>
        <w:rPr>
          <w:rFonts w:hint="eastAsia" w:ascii="宋体" w:hAnsi="宋体" w:eastAsia="宋体" w:cs="宋体"/>
          <w:color w:val="auto"/>
          <w:sz w:val="24"/>
          <w:szCs w:val="28"/>
        </w:rPr>
        <w:pBdr>
          <w:top w:val="single" w:color="000000" w:sz="4" w:space="1"/>
          <w:left w:val="single" w:color="000000" w:sz="4" w:space="4"/>
          <w:bottom w:val="single" w:color="000000" w:sz="4" w:space="1"/>
          <w:right w:val="single" w:color="000000" w:sz="4" w:space="4"/>
        </w:pBdr>
      </w:pPr>
      <w:r/>
      <w:bookmarkStart w:id="21" w:name="_Toc28359089"/>
      <w:r/>
      <w:bookmarkStart w:id="22" w:name="_Toc35393629"/>
      <w:r/>
      <w:bookmarkStart w:id="23" w:name="_Toc35393798"/>
      <w:r/>
      <w:bookmarkStart w:id="24" w:name="_Toc28359012"/>
      <w:r>
        <w:rPr>
          <w:rFonts w:hint="eastAsia" w:ascii="宋体" w:hAnsi="宋体" w:eastAsia="宋体" w:cs="宋体"/>
          <w:color w:val="auto"/>
          <w:sz w:val="24"/>
          <w:szCs w:val="28"/>
        </w:rPr>
        <w:t xml:space="preserve">项目概况</w:t>
      </w:r>
      <w:r/>
    </w:p>
    <w:p>
      <w:pPr>
        <w:ind w:firstLine="480"/>
        <w:spacing w:line="360" w:lineRule="auto"/>
        <w:rPr>
          <w:rFonts w:hint="eastAsia" w:ascii="宋体" w:hAnsi="宋体" w:eastAsia="宋体" w:cs="宋体"/>
          <w:color w:val="auto"/>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 w:val="24"/>
          <w:szCs w:val="28"/>
          <w:u w:val="single"/>
          <w:lang w:eastAsia="zh-CN"/>
        </w:rPr>
        <w:t xml:space="preserve">连云港市苍梧小学教育集团第三小学消防设施维修</w:t>
      </w:r>
      <w:r>
        <w:rPr>
          <w:rFonts w:hint="eastAsia" w:ascii="宋体" w:hAnsi="宋体" w:eastAsia="宋体" w:cs="宋体"/>
          <w:color w:val="auto"/>
          <w:sz w:val="24"/>
          <w:szCs w:val="28"/>
        </w:rPr>
        <w:t xml:space="preserve">的潜在供应商应在</w:t>
      </w:r>
      <w:r>
        <w:rPr>
          <w:rFonts w:hint="eastAsia" w:ascii="宋体" w:hAnsi="宋体" w:eastAsia="宋体" w:cs="宋体"/>
          <w:b/>
          <w:bCs/>
          <w:color w:val="auto"/>
          <w:sz w:val="24"/>
          <w:szCs w:val="28"/>
          <w:u w:val="single"/>
        </w:rPr>
        <w:t xml:space="preserve">“江苏政府采购网”自行免费下载</w:t>
      </w:r>
      <w:r>
        <w:rPr>
          <w:rFonts w:hint="eastAsia" w:ascii="宋体" w:hAnsi="宋体" w:eastAsia="宋体" w:cs="宋体"/>
          <w:color w:val="auto"/>
          <w:sz w:val="24"/>
          <w:szCs w:val="28"/>
        </w:rPr>
        <w:t xml:space="preserve">竞争性磋商文件，并于</w:t>
      </w:r>
      <w:r>
        <w:rPr>
          <w:rFonts w:hint="eastAsia" w:ascii="宋体" w:hAnsi="宋体" w:eastAsia="宋体" w:cs="宋体"/>
          <w:b/>
          <w:bCs/>
          <w:color w:val="auto"/>
          <w:sz w:val="24"/>
          <w:szCs w:val="28"/>
          <w:u w:val="single"/>
        </w:rPr>
        <w:t xml:space="preserve">202</w:t>
      </w:r>
      <w:r>
        <w:rPr>
          <w:rFonts w:hint="eastAsia" w:ascii="宋体" w:hAnsi="宋体" w:cs="宋体"/>
          <w:b/>
          <w:bCs/>
          <w:color w:val="auto"/>
          <w:sz w:val="24"/>
          <w:szCs w:val="28"/>
          <w:u w:val="single"/>
          <w:lang w:val="en-US" w:eastAsia="zh-CN"/>
        </w:rPr>
        <w:t xml:space="preserve">6</w:t>
      </w:r>
      <w:r>
        <w:rPr>
          <w:rFonts w:hint="eastAsia" w:ascii="宋体" w:hAnsi="宋体" w:eastAsia="宋体" w:cs="宋体"/>
          <w:b/>
          <w:bCs/>
          <w:color w:val="auto"/>
          <w:sz w:val="24"/>
          <w:szCs w:val="28"/>
          <w:u w:val="single"/>
        </w:rPr>
        <w:t xml:space="preserve">年</w:t>
      </w:r>
      <w:r>
        <w:rPr>
          <w:rFonts w:hint="eastAsia" w:ascii="宋体" w:hAnsi="宋体" w:cs="宋体"/>
          <w:b/>
          <w:bCs/>
          <w:color w:val="auto"/>
          <w:sz w:val="24"/>
          <w:szCs w:val="28"/>
          <w:u w:val="single"/>
          <w:lang w:val="en-US" w:eastAsia="zh-CN"/>
        </w:rPr>
        <w:t xml:space="preserve">01</w:t>
      </w:r>
      <w:r>
        <w:rPr>
          <w:rFonts w:hint="eastAsia" w:ascii="宋体" w:hAnsi="宋体" w:eastAsia="宋体" w:cs="宋体"/>
          <w:b/>
          <w:bCs/>
          <w:color w:val="auto"/>
          <w:sz w:val="24"/>
          <w:szCs w:val="28"/>
          <w:u w:val="single"/>
        </w:rPr>
        <w:t xml:space="preserve">月</w:t>
      </w:r>
      <w:r>
        <w:rPr>
          <w:rFonts w:hint="eastAsia" w:ascii="宋体" w:hAnsi="宋体" w:cs="宋体"/>
          <w:b/>
          <w:bCs/>
          <w:color w:val="auto"/>
          <w:sz w:val="24"/>
          <w:szCs w:val="28"/>
          <w:u w:val="single"/>
          <w:lang w:val="en-US" w:eastAsia="zh-CN"/>
        </w:rPr>
        <w:t xml:space="preserve">16</w:t>
      </w:r>
      <w:r>
        <w:rPr>
          <w:rFonts w:hint="eastAsia" w:ascii="宋体" w:hAnsi="宋体" w:eastAsia="宋体" w:cs="宋体"/>
          <w:b/>
          <w:bCs/>
          <w:color w:val="auto"/>
          <w:sz w:val="24"/>
          <w:szCs w:val="28"/>
          <w:u w:val="single"/>
        </w:rPr>
        <w:t xml:space="preserve">日09时</w:t>
      </w:r>
      <w:r>
        <w:rPr>
          <w:rFonts w:hint="eastAsia" w:ascii="宋体" w:hAnsi="宋体" w:cs="宋体"/>
          <w:b/>
          <w:bCs/>
          <w:color w:val="auto"/>
          <w:sz w:val="24"/>
          <w:szCs w:val="28"/>
          <w:u w:val="single"/>
          <w:lang w:val="en-US" w:eastAsia="zh-CN"/>
        </w:rPr>
        <w:t xml:space="preserve">00</w:t>
      </w:r>
      <w:r>
        <w:rPr>
          <w:rFonts w:hint="eastAsia" w:ascii="宋体" w:hAnsi="宋体" w:eastAsia="宋体" w:cs="宋体"/>
          <w:b/>
          <w:bCs/>
          <w:color w:val="auto"/>
          <w:sz w:val="24"/>
          <w:szCs w:val="28"/>
          <w:u w:val="single"/>
        </w:rPr>
        <w:t xml:space="preserve">分00秒</w:t>
      </w:r>
      <w:r>
        <w:rPr>
          <w:rFonts w:hint="eastAsia" w:ascii="宋体" w:hAnsi="宋体" w:eastAsia="宋体" w:cs="宋体"/>
          <w:color w:val="auto"/>
          <w:sz w:val="24"/>
          <w:szCs w:val="28"/>
        </w:rPr>
        <w:t xml:space="preserve">（北京时间）前上传电子响应文件。 </w:t>
      </w:r>
      <w:r/>
    </w:p>
    <w:p>
      <w:pPr>
        <w:ind w:firstLine="482"/>
        <w:spacing w:line="360" w:lineRule="auto"/>
        <w:tabs>
          <w:tab w:val="left" w:pos="3218" w:leader="none"/>
        </w:tabs>
        <w:rPr>
          <w:rFonts w:hint="eastAsia" w:ascii="宋体" w:hAnsi="宋体" w:eastAsia="宋体" w:cs="宋体"/>
          <w:b/>
          <w:color w:val="auto"/>
          <w:sz w:val="24"/>
        </w:rPr>
        <w:outlineLvl w:val="1"/>
      </w:pPr>
      <w:r/>
      <w:bookmarkStart w:id="25" w:name="_Toc31841"/>
      <w:r/>
      <w:bookmarkStart w:id="26" w:name="_Toc28804"/>
      <w:r/>
      <w:bookmarkStart w:id="27" w:name="_Toc25558"/>
      <w:r>
        <w:rPr>
          <w:rFonts w:hint="eastAsia" w:ascii="宋体" w:hAnsi="宋体" w:eastAsia="宋体" w:cs="宋体"/>
          <w:b/>
          <w:color w:val="auto"/>
          <w:sz w:val="24"/>
        </w:rPr>
        <w:t xml:space="preserve">一、项目基本情况</w:t>
      </w:r>
      <w:bookmarkEnd w:id="21"/>
      <w:r/>
      <w:bookmarkEnd w:id="22"/>
      <w:r/>
      <w:bookmarkEnd w:id="23"/>
      <w:r/>
      <w:bookmarkEnd w:id="24"/>
      <w:r/>
      <w:bookmarkEnd w:id="25"/>
      <w:r/>
      <w:bookmarkEnd w:id="26"/>
      <w:r/>
      <w:bookmarkEnd w:id="27"/>
      <w:r/>
      <w:r>
        <w:tab/>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1、项目编号：</w:t>
      </w:r>
      <w:r>
        <w:rPr>
          <w:rFonts w:ascii="SimSun" w:hAnsi="SimSun" w:eastAsia="SimSun" w:cs="SimSun"/>
          <w:color w:val="000000"/>
          <w:sz w:val="24"/>
        </w:rPr>
        <w:t xml:space="preserve">JSZC-320700-RHHH-C2025-0167</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2、项目名称：</w:t>
      </w:r>
      <w:r>
        <w:rPr>
          <w:rFonts w:hint="eastAsia" w:ascii="宋体" w:hAnsi="宋体" w:cs="宋体"/>
          <w:color w:val="auto"/>
          <w:sz w:val="24"/>
          <w:lang w:eastAsia="zh-CN"/>
        </w:rPr>
        <w:t xml:space="preserve">连云港市苍梧小学教育集团第三小学消防设施维修</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3、采购方式：竞争性磋商；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4、预算金额：70万元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default" w:ascii="宋体" w:hAnsi="宋体" w:cs="宋体"/>
          <w:color w:val="auto"/>
          <w:sz w:val="24"/>
          <w:highlight w:val="none"/>
          <w:lang w:val="en-US" w:eastAsia="zh-CN"/>
        </w:rPr>
        <w:t xml:space="preserve">最高限价：</w:t>
      </w:r>
      <w:r>
        <w:rPr>
          <w:rFonts w:hint="eastAsia" w:ascii="宋体" w:hAnsi="宋体" w:cs="宋体"/>
          <w:color w:val="auto"/>
          <w:sz w:val="24"/>
          <w:highlight w:val="none"/>
          <w:lang w:val="en-US" w:eastAsia="zh-CN"/>
        </w:rPr>
        <w:t xml:space="preserve"> 69.730928万元</w:t>
      </w:r>
      <w:r>
        <w:rPr>
          <w:rFonts w:hint="default" w:ascii="宋体" w:hAnsi="宋体" w:cs="宋体"/>
          <w:color w:val="auto"/>
          <w:sz w:val="24"/>
          <w:highlight w:val="none"/>
          <w:lang w:val="en-US" w:eastAsia="zh-CN"/>
        </w:rPr>
        <w:t xml:space="preserve">，报价超过</w:t>
      </w:r>
      <w:r>
        <w:rPr>
          <w:rFonts w:hint="eastAsia" w:ascii="宋体" w:hAnsi="宋体" w:cs="宋体"/>
          <w:color w:val="auto"/>
          <w:sz w:val="24"/>
          <w:highlight w:val="none"/>
          <w:lang w:val="en-US" w:eastAsia="zh-CN"/>
        </w:rPr>
        <w:t xml:space="preserve">最高限价</w:t>
      </w:r>
      <w:r>
        <w:rPr>
          <w:rFonts w:hint="default" w:ascii="宋体" w:hAnsi="宋体" w:cs="宋体"/>
          <w:color w:val="auto"/>
          <w:sz w:val="24"/>
          <w:highlight w:val="none"/>
          <w:lang w:val="en-US" w:eastAsia="zh-CN"/>
        </w:rPr>
        <w:t xml:space="preserve">的按无效响应处理</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建设地点：</w:t>
      </w:r>
      <w:r>
        <w:rPr>
          <w:rFonts w:hint="eastAsia" w:ascii="宋体" w:hAnsi="宋体" w:cs="宋体"/>
          <w:color w:val="auto"/>
          <w:sz w:val="24"/>
          <w:lang w:eastAsia="zh-CN"/>
        </w:rPr>
        <w:t xml:space="preserve">连云港市苍梧小学校内</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7、工程范围</w:t>
      </w:r>
      <w:r>
        <w:rPr>
          <w:rFonts w:hint="eastAsia" w:ascii="宋体" w:hAnsi="宋体" w:eastAsia="宋体" w:cs="宋体"/>
          <w:color w:val="auto"/>
          <w:sz w:val="24"/>
          <w:highlight w:val="none"/>
        </w:rPr>
        <w:t xml:space="preserve">：</w:t>
      </w:r>
      <w:r>
        <w:rPr>
          <w:rFonts w:hint="eastAsia" w:ascii="宋体" w:hAnsi="宋体" w:cs="宋体"/>
          <w:color w:val="auto"/>
          <w:sz w:val="24"/>
          <w:lang w:eastAsia="zh-CN"/>
        </w:rPr>
        <w:t xml:space="preserve">消防设施维修，</w:t>
      </w:r>
      <w:r>
        <w:rPr>
          <w:rFonts w:hint="eastAsia" w:ascii="宋体" w:hAnsi="宋体" w:eastAsia="宋体" w:cs="宋体"/>
          <w:color w:val="auto"/>
          <w:sz w:val="24"/>
          <w:highlight w:val="none"/>
          <w:lang w:val="en-US" w:eastAsia="zh-CN"/>
        </w:rPr>
        <w:t xml:space="preserve">具体详见工程量清单及图纸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、承包方式：包工包料；</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、质量标准：合格；</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、工期：</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日历天（具体开工日期以采购人发出的书面开工令为准）；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、本项目不接受联合体参加磋商。</w:t>
      </w:r>
      <w:r/>
    </w:p>
    <w:p>
      <w:pPr>
        <w:ind w:firstLine="482"/>
        <w:spacing w:line="360" w:lineRule="auto"/>
        <w:rPr>
          <w:rFonts w:hint="eastAsia" w:ascii="宋体" w:hAnsi="宋体" w:eastAsia="宋体" w:cs="宋体"/>
          <w:b/>
          <w:color w:val="auto"/>
          <w:sz w:val="24"/>
        </w:rPr>
        <w:outlineLvl w:val="1"/>
      </w:pPr>
      <w:r/>
      <w:bookmarkStart w:id="28" w:name="_Toc29703"/>
      <w:r/>
      <w:bookmarkStart w:id="29" w:name="_Toc12594"/>
      <w:r/>
      <w:bookmarkStart w:id="30" w:name="_Toc35393799"/>
      <w:r/>
      <w:bookmarkStart w:id="31" w:name="_Toc28359013"/>
      <w:r/>
      <w:bookmarkStart w:id="32" w:name="_Toc35393630"/>
      <w:r/>
      <w:bookmarkStart w:id="33" w:name="_Toc28359090"/>
      <w:r/>
      <w:bookmarkStart w:id="34" w:name="_Toc28420"/>
      <w:r>
        <w:rPr>
          <w:rFonts w:hint="eastAsia" w:ascii="宋体" w:hAnsi="宋体" w:eastAsia="宋体" w:cs="宋体"/>
          <w:b/>
          <w:color w:val="auto"/>
          <w:sz w:val="24"/>
        </w:rPr>
        <w:t xml:space="preserve">二、申请人的资格要求</w:t>
      </w:r>
      <w:bookmarkEnd w:id="28"/>
      <w:r/>
      <w:bookmarkEnd w:id="29"/>
      <w:r/>
      <w:bookmarkEnd w:id="30"/>
      <w:r/>
      <w:bookmarkEnd w:id="31"/>
      <w:r/>
      <w:bookmarkEnd w:id="32"/>
      <w:r/>
      <w:bookmarkEnd w:id="33"/>
      <w:r/>
      <w:bookmarkEnd w:id="34"/>
      <w:r/>
      <w:r/>
    </w:p>
    <w:p>
      <w:pPr>
        <w:pStyle w:val="951"/>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rPr>
        <w:t xml:space="preserve">1、满足《中华人民共和国政府采购法》第二十二条规定，提供下列材料：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（2）具有良好的商业信誉和健全的财务会计制度（按连财购〔2023〕4号文件要求，可以提供《财务状况报告及税收、社会保障资金缴纳情况承诺函》，并上传至电子投标文件中，详见采购文件格式）；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（3）依法缴纳税收和社会保障资金的相关证明材料（按连财购〔2023〕4号文件要求，可以提供《财务状况报告及税收、社会保障资金缴纳情况承诺函》，并上传至电子投标文件中，详见采购文件格式）；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（4）具备履行合同所必需的设备和专业技术能力的书面声明</w:t>
      </w:r>
      <w:r>
        <w:rPr>
          <w:rFonts w:hint="eastAsia" w:ascii="宋体" w:hAnsi="宋体" w:cs="宋体"/>
          <w:color w:val="auto"/>
          <w:sz w:val="24"/>
          <w:lang w:val="en-US" w:eastAsia="zh-CN"/>
        </w:rPr>
        <w:t xml:space="preserve">及证明材料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highlight w:val="none"/>
        </w:rPr>
        <w:t xml:space="preserve">2、落实政府采购需满足的资格要求：</w:t>
      </w:r>
      <w:r>
        <w:rPr>
          <w:rFonts w:hint="eastAsia" w:ascii="宋体" w:hAnsi="宋体" w:cs="宋体"/>
          <w:color w:val="auto"/>
          <w:sz w:val="24"/>
          <w:highlight w:val="none"/>
          <w:lang w:val="en-US" w:eastAsia="zh-CN"/>
        </w:rPr>
        <w:t xml:space="preserve">执行</w:t>
      </w:r>
      <w:r>
        <w:rPr>
          <w:rFonts w:hint="eastAsia" w:ascii="宋体" w:hAnsi="宋体" w:eastAsia="宋体" w:cs="宋体"/>
          <w:color w:val="auto"/>
          <w:sz w:val="24"/>
          <w:highlight w:val="none"/>
        </w:rPr>
        <w:t xml:space="preserve">财政部、工业和信息化部关于印发《政府采购促进中心企业发展管理办法》的通知（财库〔2020〕46号）等相关文件要求，</w:t>
      </w:r>
      <w:r>
        <w:rPr>
          <w:rFonts w:hint="eastAsia" w:ascii="宋体" w:hAnsi="宋体" w:eastAsia="宋体" w:cs="宋体"/>
          <w:b/>
          <w:bCs/>
          <w:color w:val="auto"/>
          <w:sz w:val="24"/>
          <w:highlight w:val="none"/>
        </w:rPr>
        <w:t xml:space="preserve">本项目专门面向中型企业、小型企业、微型企业、残疾人福利性单位、监狱企业进行采购</w:t>
      </w:r>
      <w:r>
        <w:rPr>
          <w:rFonts w:hint="eastAsia" w:ascii="宋体" w:hAnsi="宋体" w:eastAsia="宋体" w:cs="宋体"/>
          <w:color w:val="auto"/>
          <w:sz w:val="24"/>
          <w:highlight w:val="none"/>
        </w:rPr>
        <w:t xml:space="preserve">。（符合要求的供应商须提供《中小企业声明函》或《残疾人福利性单位声明函》或属于监狱企业的证明文件，否则响应无效）。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3、本项目的特定资格要求：</w:t>
      </w:r>
      <w:r/>
    </w:p>
    <w:p>
      <w:pPr>
        <w:ind w:firstLine="480"/>
        <w:spacing w:line="360" w:lineRule="auto"/>
        <w:rPr>
          <w:rFonts w:hint="eastAsia" w:ascii="宋体" w:hAnsi="宋体" w:eastAsia="宋体" w:cs="宋体"/>
          <w:color w:val="auto"/>
          <w:sz w:val="24"/>
          <w:highlight w:val="none"/>
        </w:rPr>
      </w:pPr>
      <w:r/>
      <w:bookmarkStart w:id="35" w:name="_Toc28359091"/>
      <w:r/>
      <w:bookmarkStart w:id="36" w:name="_Toc28359014"/>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投标人</w:t>
      </w:r>
      <w:r>
        <w:rPr>
          <w:rFonts w:hint="eastAsia" w:ascii="宋体" w:hAnsi="宋体" w:eastAsia="宋体" w:cs="宋体"/>
          <w:color w:val="auto"/>
          <w:sz w:val="24"/>
        </w:rPr>
        <w:t xml:space="preserve">须具备建设行政主管部门核发</w:t>
      </w:r>
      <w:r>
        <w:rPr>
          <w:rFonts w:hint="eastAsia" w:ascii="宋体" w:hAnsi="宋体" w:eastAsia="宋体" w:cs="宋体"/>
          <w:color w:val="auto"/>
          <w:sz w:val="24"/>
          <w:highlight w:val="none"/>
        </w:rPr>
        <w:t xml:space="preserve">的</w:t>
      </w:r>
      <w:r>
        <w:rPr>
          <w:rFonts w:hint="eastAsia" w:ascii="宋体" w:hAnsi="宋体" w:eastAsia="宋体"/>
          <w:b/>
          <w:bCs/>
          <w:sz w:val="24"/>
          <w:szCs w:val="24"/>
          <w:highlight w:val="none"/>
          <w:u w:val="none"/>
          <w:shd w:val="clear" w:color="auto" w:fill="ffffff" w:themeFill="background1"/>
        </w:rPr>
        <w:t xml:space="preserve">消防设施工程专业承包二级及以上</w:t>
      </w:r>
      <w:r>
        <w:rPr>
          <w:rFonts w:hint="eastAsia" w:ascii="宋体" w:hAnsi="宋体" w:eastAsia="宋体" w:cs="宋体"/>
          <w:b/>
          <w:bCs/>
          <w:color w:val="auto"/>
          <w:sz w:val="24"/>
          <w:highlight w:val="none"/>
          <w:u w:val="none"/>
        </w:rPr>
        <w:t xml:space="preserve">资质</w:t>
      </w:r>
      <w:r>
        <w:rPr>
          <w:rFonts w:hint="eastAsia" w:ascii="宋体" w:hAnsi="宋体" w:eastAsia="宋体" w:cs="宋体"/>
          <w:b/>
          <w:bCs/>
          <w:color w:val="auto"/>
          <w:sz w:val="24"/>
          <w:highlight w:val="none"/>
        </w:rPr>
        <w:t xml:space="preserve">，且具有建设主管部门颁发的安全生产许可证（在有效期内）。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（2）拟派项目负责人须具备建设行政主管部门核发</w:t>
      </w:r>
      <w:r>
        <w:rPr>
          <w:rFonts w:hint="eastAsia" w:ascii="宋体" w:hAnsi="宋体" w:cs="宋体"/>
          <w:color w:val="auto"/>
          <w:sz w:val="24"/>
          <w:highlight w:val="none"/>
          <w:lang w:eastAsia="zh-CN"/>
        </w:rPr>
        <w:t xml:space="preserve">的</w:t>
      </w:r>
      <w:r>
        <w:rPr>
          <w:rFonts w:hint="eastAsia" w:ascii="宋体" w:hAnsi="宋体" w:eastAsia="宋体" w:cs="宋体"/>
          <w:b/>
          <w:bCs/>
          <w:color w:val="auto"/>
          <w:sz w:val="24"/>
          <w:highlight w:val="none"/>
          <w:u w:val="none"/>
        </w:rPr>
        <w:t xml:space="preserve">机电工程专业二级注册建造师及以上资格证书（有效的）</w:t>
      </w:r>
      <w:r>
        <w:rPr>
          <w:rFonts w:hint="eastAsia" w:ascii="宋体" w:hAnsi="宋体" w:eastAsia="宋体" w:cs="宋体"/>
          <w:b/>
          <w:bCs/>
          <w:color w:val="auto"/>
          <w:sz w:val="24"/>
        </w:rPr>
        <w:t xml:space="preserve">并具有安全生产考核合格证书（B 类）（有效期内）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（3）本项目要求授权委托人必须为项目负责人，不接受项目负责人以外的人员作为委托人参与投标过程中各环节的活动。拟派项目负责人必须为供应商的员工，提供</w:t>
      </w:r>
      <w:r>
        <w:rPr>
          <w:rFonts w:hint="eastAsia" w:ascii="宋体" w:hAnsi="宋体" w:eastAsia="宋体" w:cs="宋体"/>
          <w:b/>
          <w:bCs/>
          <w:color w:val="auto"/>
          <w:sz w:val="24"/>
        </w:rPr>
        <w:t xml:space="preserve">202</w:t>
      </w:r>
      <w:r>
        <w:rPr>
          <w:rFonts w:hint="eastAsia" w:ascii="宋体" w:hAnsi="宋体" w:cs="宋体"/>
          <w:b/>
          <w:bCs/>
          <w:color w:val="auto"/>
          <w:sz w:val="24"/>
          <w:lang w:val="en-US" w:eastAsia="zh-CN"/>
        </w:rPr>
        <w:t xml:space="preserve">5</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7</w:t>
      </w:r>
      <w:r>
        <w:rPr>
          <w:rFonts w:hint="eastAsia" w:ascii="宋体" w:hAnsi="宋体" w:eastAsia="宋体" w:cs="宋体"/>
          <w:b/>
          <w:bCs/>
          <w:color w:val="auto"/>
          <w:sz w:val="24"/>
        </w:rPr>
        <w:t xml:space="preserve">月至今任意一个月</w:t>
      </w:r>
      <w:r>
        <w:rPr>
          <w:rFonts w:hint="eastAsia" w:ascii="宋体" w:hAnsi="宋体" w:eastAsia="宋体" w:cs="宋体"/>
          <w:color w:val="auto"/>
          <w:sz w:val="24"/>
        </w:rPr>
        <w:t xml:space="preserve">由供应商为其缴纳的社保缴纳证明（加盖社保中心章或社保中心参保缴费证明电子专用章）；</w:t>
      </w:r>
      <w:r/>
    </w:p>
    <w:p>
      <w:pPr>
        <w:pStyle w:val="745"/>
        <w:ind w:left="0" w:righ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拟派项目</w:t>
      </w:r>
      <w:r>
        <w:rPr>
          <w:rFonts w:hint="eastAsia" w:cs="宋体"/>
          <w:color w:val="auto"/>
          <w:sz w:val="24"/>
          <w:szCs w:val="24"/>
          <w:lang w:val="en-US" w:eastAsia="zh-CN"/>
        </w:rPr>
        <w:t xml:space="preserve">负责人</w:t>
      </w:r>
      <w:r>
        <w:rPr>
          <w:rFonts w:hint="eastAsia" w:ascii="宋体" w:hAnsi="宋体" w:eastAsia="宋体" w:cs="宋体"/>
          <w:color w:val="auto"/>
          <w:sz w:val="24"/>
          <w:szCs w:val="24"/>
        </w:rPr>
        <w:t xml:space="preserve">不得在其他项目中担任项目经理、项目技术负责人、施工员、安全员、质量员）（见格式“供应商承诺书”）</w:t>
      </w:r>
      <w:r/>
    </w:p>
    <w:p>
      <w:pPr>
        <w:pStyle w:val="745"/>
        <w:ind w:left="0" w:firstLine="480"/>
        <w:jc w:val="both"/>
        <w:keepLines w:val="0"/>
        <w:keepNext w:val="0"/>
        <w:spacing w:before="0" w:beforeAutospacing="0" w:after="0" w:afterAutospacing="0" w:line="360" w:lineRule="auto"/>
        <w:widowControl w:val="off"/>
        <w:rPr>
          <w:rFonts w:hint="eastAsia"/>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）本项目执行江苏省住房和城乡建设厅《关于开展建筑业企业资质动态监管工作的公告》、江苏省住房和城乡建设厅公告【2018】第6号、连建发【2022】2号文，关于企业资质动态核查，由供应商在响应文件中作出</w:t>
      </w:r>
      <w:r>
        <w:rPr>
          <w:rFonts w:hint="eastAsia" w:ascii="宋体" w:hAnsi="宋体" w:eastAsia="宋体" w:cs="宋体"/>
          <w:b/>
          <w:bCs/>
          <w:color w:val="auto"/>
          <w:sz w:val="24"/>
        </w:rPr>
        <w:t xml:space="preserve">书面承诺</w:t>
      </w:r>
      <w:r>
        <w:rPr>
          <w:rFonts w:hint="eastAsia" w:ascii="宋体" w:hAnsi="宋体" w:eastAsia="宋体" w:cs="宋体"/>
          <w:color w:val="auto"/>
          <w:sz w:val="24"/>
        </w:rPr>
        <w:t xml:space="preserve">（见格式），若响应有效期内企业资质核查不合格，将主动放弃成交资格</w:t>
      </w:r>
      <w:r>
        <w:rPr>
          <w:rFonts w:hint="eastAsia" w:ascii="宋体" w:hAnsi="宋体" w:cs="宋体"/>
          <w:color w:val="auto"/>
          <w:sz w:val="24"/>
          <w:lang w:eastAsia="zh-CN"/>
        </w:rPr>
        <w:t xml:space="preserve">。</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）企业、法定代表人及项目负责人无不良行为承诺（见格式）</w:t>
      </w:r>
      <w:r>
        <w:rPr>
          <w:rFonts w:hint="eastAsia" w:ascii="宋体" w:hAnsi="宋体" w:cs="宋体"/>
          <w:color w:val="auto"/>
          <w:sz w:val="24"/>
          <w:lang w:val="en-US" w:eastAsia="zh-CN"/>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4、本项目其他资格要求：</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（1）响应文件递交截止前，被信用中国、中国政府采购网列入失信被执行人、税收违法黑名单、政府采购严重违法失信行为记录名单的供应商，拒绝其参与政府采购活动；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（2）本项目成交后不允许分包或转包。</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5、法律、法规规定的其他条件。</w:t>
      </w:r>
      <w:r/>
    </w:p>
    <w:p>
      <w:pPr>
        <w:ind w:firstLine="482"/>
        <w:spacing w:line="360" w:lineRule="auto"/>
        <w:rPr>
          <w:rFonts w:hint="eastAsia" w:ascii="宋体" w:hAnsi="宋体" w:eastAsia="宋体" w:cs="宋体"/>
          <w:b/>
          <w:color w:val="auto"/>
          <w:sz w:val="24"/>
        </w:rPr>
        <w:outlineLvl w:val="1"/>
      </w:pPr>
      <w:r/>
      <w:bookmarkStart w:id="37" w:name="_Toc35393800"/>
      <w:r/>
      <w:bookmarkStart w:id="38" w:name="_Toc6062"/>
      <w:r/>
      <w:bookmarkStart w:id="39" w:name="_Toc7594"/>
      <w:r/>
      <w:bookmarkStart w:id="40" w:name="_Toc5069"/>
      <w:r/>
      <w:bookmarkStart w:id="41" w:name="_Toc35393631"/>
      <w:r>
        <w:rPr>
          <w:rFonts w:hint="eastAsia" w:ascii="宋体" w:hAnsi="宋体" w:eastAsia="宋体" w:cs="宋体"/>
          <w:b/>
          <w:color w:val="auto"/>
          <w:sz w:val="24"/>
        </w:rPr>
        <w:t xml:space="preserve">三、获取竞争性磋商文件</w:t>
      </w:r>
      <w:bookmarkEnd w:id="35"/>
      <w:r/>
      <w:bookmarkEnd w:id="36"/>
      <w:r/>
      <w:bookmarkEnd w:id="37"/>
      <w:r/>
      <w:bookmarkEnd w:id="38"/>
      <w:r/>
      <w:bookmarkEnd w:id="39"/>
      <w:r/>
      <w:bookmarkEnd w:id="40"/>
      <w:r/>
      <w:bookmarkEnd w:id="41"/>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bookmarkStart w:id="42" w:name="_Toc35393632"/>
      <w:r/>
      <w:bookmarkStart w:id="43" w:name="_Toc28359015"/>
      <w:r/>
      <w:bookmarkStart w:id="44" w:name="_Toc28359092"/>
      <w:r/>
      <w:bookmarkStart w:id="45" w:name="_Toc35393801"/>
      <w:r>
        <w:rPr>
          <w:rFonts w:hint="eastAsia" w:ascii="宋体" w:hAnsi="宋体" w:eastAsia="宋体" w:cs="宋体"/>
          <w:color w:val="auto"/>
          <w:sz w:val="24"/>
          <w:highlight w:val="none"/>
        </w:rPr>
        <w:t xml:space="preserve">1、时间：2025年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31</w:t>
      </w:r>
      <w:r>
        <w:rPr>
          <w:rFonts w:hint="eastAsia" w:ascii="宋体" w:hAnsi="宋体" w:eastAsia="宋体" w:cs="宋体"/>
          <w:color w:val="auto"/>
          <w:sz w:val="24"/>
          <w:highlight w:val="none"/>
        </w:rPr>
        <w:t xml:space="preserve">日至202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08</w:t>
      </w:r>
      <w:r>
        <w:rPr>
          <w:rFonts w:hint="eastAsia" w:ascii="宋体" w:hAnsi="宋体" w:eastAsia="宋体" w:cs="宋体"/>
          <w:color w:val="auto"/>
          <w:sz w:val="24"/>
          <w:highlight w:val="none"/>
        </w:rPr>
        <w:t xml:space="preserve">日23:59止（北京时间）；</w:t>
      </w:r>
      <w:r/>
    </w:p>
    <w:p>
      <w:pPr>
        <w:ind w:firstLine="48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2、方式：在“江苏政府采购网”自行免费下载磋商文件；</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3、售价：人民币0元。</w:t>
      </w:r>
      <w:r/>
    </w:p>
    <w:p>
      <w:pPr>
        <w:pStyle w:val="951"/>
        <w:spacing w:line="360" w:lineRule="auto"/>
        <w:rPr>
          <w:rFonts w:hint="eastAsia" w:ascii="宋体" w:hAnsi="宋体" w:eastAsia="宋体" w:cs="宋体"/>
          <w:b/>
          <w:color w:val="auto"/>
          <w:sz w:val="24"/>
        </w:rPr>
        <w:outlineLvl w:val="1"/>
      </w:pPr>
      <w:r/>
      <w:bookmarkStart w:id="46" w:name="_Toc13856"/>
      <w:r/>
      <w:bookmarkStart w:id="47" w:name="_Toc8390"/>
      <w:r/>
      <w:bookmarkStart w:id="48" w:name="_Toc25481"/>
      <w:r>
        <w:rPr>
          <w:rFonts w:hint="eastAsia" w:ascii="宋体" w:hAnsi="宋体" w:eastAsia="宋体" w:cs="宋体"/>
          <w:b/>
          <w:color w:val="auto"/>
          <w:sz w:val="24"/>
        </w:rPr>
        <w:t xml:space="preserve">四、</w:t>
      </w:r>
      <w:bookmarkEnd w:id="42"/>
      <w:r/>
      <w:bookmarkEnd w:id="43"/>
      <w:r/>
      <w:bookmarkEnd w:id="44"/>
      <w:r/>
      <w:bookmarkEnd w:id="45"/>
      <w:r>
        <w:rPr>
          <w:rFonts w:hint="eastAsia" w:ascii="宋体" w:hAnsi="宋体" w:eastAsia="宋体" w:cs="宋体"/>
          <w:b/>
          <w:color w:val="auto"/>
          <w:sz w:val="24"/>
          <w:lang w:val="en-US"/>
        </w:rPr>
        <w:t xml:space="preserve">响应文件的递交及开启</w:t>
      </w:r>
      <w:bookmarkEnd w:id="46"/>
      <w:r/>
      <w:bookmarkEnd w:id="47"/>
      <w:r/>
      <w:bookmarkEnd w:id="48"/>
      <w:r/>
      <w:r/>
    </w:p>
    <w:p>
      <w:pPr>
        <w:ind w:firstLine="480"/>
        <w:spacing w:line="360" w:lineRule="auto"/>
        <w:rPr>
          <w:rFonts w:hint="eastAsia" w:ascii="宋体" w:hAnsi="宋体" w:eastAsia="宋体" w:cs="宋体"/>
          <w:color w:val="auto"/>
          <w:sz w:val="24"/>
        </w:rPr>
      </w:pPr>
      <w:r/>
      <w:bookmarkStart w:id="49" w:name="_Toc35393803"/>
      <w:r/>
      <w:bookmarkStart w:id="50" w:name="_Toc28359017"/>
      <w:r/>
      <w:bookmarkStart w:id="51" w:name="_Toc28359094"/>
      <w:r/>
      <w:bookmarkStart w:id="52" w:name="_Toc35393634"/>
      <w:r>
        <w:rPr>
          <w:rFonts w:hint="eastAsia" w:ascii="宋体" w:hAnsi="宋体" w:eastAsia="宋体" w:cs="宋体"/>
          <w:color w:val="auto"/>
          <w:sz w:val="24"/>
        </w:rPr>
        <w:t xml:space="preserve">1、电子响应文件递交截止时间：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t xml:space="preserve">202</w:t>
      </w:r>
      <w:r>
        <w:rPr>
          <w:rFonts w:hint="eastAsia" w:ascii="宋体" w:hAnsi="宋体" w:cs="宋体"/>
          <w:b/>
          <w:bCs/>
          <w:color w:val="auto"/>
          <w:sz w:val="24"/>
          <w:lang w:val="en-US" w:eastAsia="zh-CN"/>
        </w:rPr>
        <w:t xml:space="preserve">6</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01</w:t>
      </w:r>
      <w:r>
        <w:rPr>
          <w:rFonts w:hint="eastAsia" w:ascii="宋体" w:hAnsi="宋体" w:eastAsia="宋体" w:cs="宋体"/>
          <w:b/>
          <w:bCs/>
          <w:color w:val="auto"/>
          <w:sz w:val="24"/>
        </w:rPr>
        <w:t xml:space="preserve">月</w:t>
      </w:r>
      <w:r>
        <w:rPr>
          <w:rFonts w:hint="eastAsia" w:ascii="宋体" w:hAnsi="宋体" w:cs="宋体"/>
          <w:b/>
          <w:bCs/>
          <w:color w:val="auto"/>
          <w:sz w:val="24"/>
          <w:lang w:val="en-US" w:eastAsia="zh-CN"/>
        </w:rPr>
        <w:t xml:space="preserve">16</w:t>
      </w:r>
      <w:r>
        <w:rPr>
          <w:rFonts w:hint="eastAsia" w:ascii="宋体" w:hAnsi="宋体" w:eastAsia="宋体" w:cs="宋体"/>
          <w:b/>
          <w:bCs/>
          <w:color w:val="auto"/>
          <w:sz w:val="24"/>
        </w:rPr>
        <w:t xml:space="preserve">日</w:t>
      </w:r>
      <w:r>
        <w:rPr>
          <w:rFonts w:hint="eastAsia" w:ascii="宋体" w:hAnsi="宋体" w:cs="宋体"/>
          <w:b/>
          <w:bCs/>
          <w:color w:val="auto"/>
          <w:sz w:val="24"/>
          <w:lang w:val="en-US" w:eastAsia="zh-CN"/>
        </w:rPr>
        <w:t xml:space="preserve">09</w:t>
      </w:r>
      <w:r>
        <w:rPr>
          <w:rFonts w:hint="eastAsia" w:ascii="宋体" w:hAnsi="宋体" w:eastAsia="宋体" w:cs="宋体"/>
          <w:b/>
          <w:bCs/>
          <w:color w:val="auto"/>
          <w:sz w:val="24"/>
        </w:rPr>
        <w:t xml:space="preserve">时0</w:t>
      </w:r>
      <w:r>
        <w:rPr>
          <w:rFonts w:hint="eastAsia" w:ascii="宋体" w:hAnsi="宋体" w:cs="宋体"/>
          <w:b/>
          <w:bCs/>
          <w:color w:val="auto"/>
          <w:sz w:val="24"/>
          <w:lang w:val="en-US" w:eastAsia="zh-CN"/>
        </w:rPr>
        <w:t xml:space="preserve">0</w:t>
      </w:r>
      <w:r>
        <w:rPr>
          <w:rFonts w:hint="eastAsia" w:ascii="宋体" w:hAnsi="宋体" w:eastAsia="宋体" w:cs="宋体"/>
          <w:b/>
          <w:bCs/>
          <w:color w:val="auto"/>
          <w:sz w:val="24"/>
        </w:rPr>
        <w:t xml:space="preserve">分</w:t>
      </w:r>
      <w:r>
        <w:rPr>
          <w:rFonts w:hint="eastAsia" w:ascii="宋体" w:hAnsi="宋体" w:eastAsia="宋体" w:cs="宋体"/>
          <w:color w:val="auto"/>
          <w:sz w:val="24"/>
        </w:rPr>
        <w:t xml:space="preserve">（北京时间）</w:t>
      </w:r>
      <w:r/>
    </w:p>
    <w:p>
      <w:pPr>
        <w:ind w:firstLine="480"/>
        <w:spacing w:line="360" w:lineRule="auto"/>
        <w:rPr>
          <w:rFonts w:hint="eastAsia" w:ascii="宋体" w:hAnsi="宋体" w:eastAsia="宋体" w:cs="宋体"/>
          <w:color w:val="auto"/>
          <w:sz w:val="24"/>
        </w:rPr>
      </w:pPr>
      <w:r/>
      <w:bookmarkStart w:id="53" w:name="_Hlk154409379"/>
      <w:r>
        <w:rPr>
          <w:rFonts w:hint="eastAsia" w:ascii="宋体" w:hAnsi="宋体" w:eastAsia="宋体" w:cs="宋体"/>
          <w:color w:val="auto"/>
          <w:sz w:val="24"/>
        </w:rPr>
        <w:t xml:space="preserve">地址：“苏采云”政府采购交易系统网上开标大厅。</w:t>
      </w:r>
      <w:bookmarkEnd w:id="5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2、开启时间：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t xml:space="preserve">202</w:t>
      </w:r>
      <w:r>
        <w:rPr>
          <w:rFonts w:hint="eastAsia" w:ascii="宋体" w:hAnsi="宋体" w:cs="宋体"/>
          <w:b/>
          <w:bCs/>
          <w:color w:val="auto"/>
          <w:sz w:val="24"/>
          <w:lang w:val="en-US" w:eastAsia="zh-CN"/>
        </w:rPr>
        <w:t xml:space="preserve">6</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01</w:t>
      </w:r>
      <w:r>
        <w:rPr>
          <w:rFonts w:hint="eastAsia" w:ascii="宋体" w:hAnsi="宋体" w:eastAsia="宋体" w:cs="宋体"/>
          <w:b/>
          <w:bCs/>
          <w:color w:val="auto"/>
          <w:sz w:val="24"/>
        </w:rPr>
        <w:t xml:space="preserve">月</w:t>
      </w:r>
      <w:r>
        <w:rPr>
          <w:rFonts w:hint="eastAsia" w:ascii="宋体" w:hAnsi="宋体" w:cs="宋体"/>
          <w:b/>
          <w:bCs/>
          <w:color w:val="auto"/>
          <w:sz w:val="24"/>
          <w:lang w:val="en-US" w:eastAsia="zh-CN"/>
        </w:rPr>
        <w:t xml:space="preserve">16</w:t>
      </w:r>
      <w:r>
        <w:rPr>
          <w:rFonts w:hint="eastAsia" w:ascii="宋体" w:hAnsi="宋体" w:eastAsia="宋体" w:cs="宋体"/>
          <w:b/>
          <w:bCs/>
          <w:color w:val="auto"/>
          <w:sz w:val="24"/>
        </w:rPr>
        <w:t xml:space="preserve">日09时</w:t>
      </w:r>
      <w:r>
        <w:rPr>
          <w:rFonts w:hint="eastAsia" w:ascii="宋体" w:hAnsi="宋体" w:cs="宋体"/>
          <w:b/>
          <w:bCs/>
          <w:color w:val="auto"/>
          <w:sz w:val="24"/>
          <w:lang w:val="en-US" w:eastAsia="zh-CN"/>
        </w:rPr>
        <w:t xml:space="preserve">0</w:t>
      </w:r>
      <w:r>
        <w:rPr>
          <w:rFonts w:hint="eastAsia" w:ascii="宋体" w:hAnsi="宋体" w:eastAsia="宋体" w:cs="宋体"/>
          <w:b/>
          <w:bCs/>
          <w:color w:val="auto"/>
          <w:sz w:val="24"/>
        </w:rPr>
        <w:t xml:space="preserve">0分</w:t>
      </w:r>
      <w:r>
        <w:rPr>
          <w:rFonts w:hint="eastAsia" w:ascii="宋体" w:hAnsi="宋体" w:eastAsia="宋体" w:cs="宋体"/>
          <w:color w:val="auto"/>
          <w:sz w:val="24"/>
        </w:rPr>
        <w:t xml:space="preserve">（北京时间）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地址：连云港市公共资源交易中心市区二楼不见面开标</w:t>
      </w:r>
      <w:r>
        <w:rPr>
          <w:rFonts w:hint="eastAsia" w:ascii="宋体" w:hAnsi="宋体" w:cs="宋体"/>
          <w:color w:val="auto"/>
          <w:sz w:val="24"/>
          <w:lang w:eastAsia="zh-CN"/>
        </w:rPr>
        <w:t xml:space="preserve">大厅</w:t>
      </w:r>
      <w:r>
        <w:rPr>
          <w:rFonts w:hint="eastAsia" w:ascii="宋体" w:hAnsi="宋体" w:eastAsia="宋体" w:cs="宋体"/>
          <w:color w:val="auto"/>
          <w:sz w:val="24"/>
        </w:rPr>
        <w:t xml:space="preserve">。</w:t>
      </w:r>
      <w:r/>
    </w:p>
    <w:p>
      <w:pPr>
        <w:ind w:left="0"/>
        <w:keepLines w:val="0"/>
        <w:keepNext w:val="0"/>
        <w:pageBreakBefore w:val="0"/>
        <w:spacing w:beforeAutospacing="0" w:afterAutospacing="0" w:line="360" w:lineRule="auto"/>
        <w:rPr>
          <w:rFonts w:hint="eastAsia" w:ascii="宋体" w:hAnsi="宋体" w:eastAsia="宋体" w:cs="宋体"/>
          <w:b/>
          <w:color w:val="auto"/>
          <w:sz w:val="24"/>
        </w:rPr>
        <w:outlineLvl w:val="1"/>
      </w:pPr>
      <w:r>
        <w:rPr>
          <w:rFonts w:hint="eastAsia" w:ascii="宋体" w:hAnsi="宋体" w:eastAsia="宋体" w:cs="宋体"/>
          <w:color w:val="auto"/>
          <w:sz w:val="24"/>
        </w:rPr>
        <w:t xml:space="preserve">    </w:t>
      </w:r>
      <w:bookmarkStart w:id="54" w:name="_Toc13136"/>
      <w:r/>
      <w:bookmarkStart w:id="55" w:name="_Toc5446"/>
      <w:r/>
      <w:bookmarkStart w:id="56" w:name="_Toc777"/>
      <w:r>
        <w:rPr>
          <w:rFonts w:hint="eastAsia" w:ascii="宋体" w:hAnsi="宋体" w:eastAsia="宋体" w:cs="宋体"/>
          <w:b/>
          <w:color w:val="auto"/>
          <w:sz w:val="24"/>
        </w:rPr>
        <w:t xml:space="preserve">五、</w:t>
      </w:r>
      <w:bookmarkEnd w:id="49"/>
      <w:r/>
      <w:bookmarkEnd w:id="50"/>
      <w:r/>
      <w:bookmarkEnd w:id="51"/>
      <w:r/>
      <w:bookmarkEnd w:id="52"/>
      <w:r>
        <w:rPr>
          <w:rFonts w:hint="eastAsia" w:ascii="宋体" w:hAnsi="宋体" w:eastAsia="宋体" w:cs="宋体"/>
          <w:b/>
          <w:color w:val="auto"/>
          <w:sz w:val="24"/>
        </w:rPr>
        <w:t xml:space="preserve">公告期限</w:t>
      </w:r>
      <w:bookmarkEnd w:id="54"/>
      <w:r/>
      <w:bookmarkEnd w:id="55"/>
      <w:r/>
      <w:bookmarkEnd w:id="56"/>
      <w:r>
        <w:rPr>
          <w:rFonts w:hint="eastAsia" w:ascii="宋体" w:hAnsi="宋体" w:eastAsia="宋体" w:cs="宋体"/>
          <w:b/>
          <w:color w:val="auto"/>
          <w:sz w:val="24"/>
          <w:lang w:val="en-US" w:eastAsia="zh-CN"/>
        </w:rPr>
        <w:t xml:space="preserve">及媒介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公告期限：自本公告发布之日起</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firstLine="480"/>
        <w:keepLines/>
        <w:keepNext/>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cs="宋体"/>
          <w:color w:val="auto"/>
          <w:sz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highlight w:val="none"/>
          <w:lang w:val="en-US" w:eastAsia="zh-CN"/>
        </w:rPr>
        <w:t xml:space="preserve">发布。</w:t>
      </w:r>
      <w:r/>
    </w:p>
    <w:p>
      <w:pPr>
        <w:ind w:firstLine="482"/>
        <w:spacing w:line="360" w:lineRule="auto"/>
        <w:rPr>
          <w:rFonts w:hint="eastAsia" w:ascii="宋体" w:hAnsi="宋体" w:eastAsia="宋体" w:cs="宋体"/>
          <w:b/>
          <w:color w:val="auto"/>
          <w:sz w:val="24"/>
        </w:rPr>
        <w:outlineLvl w:val="1"/>
      </w:pPr>
      <w:r/>
      <w:bookmarkStart w:id="57" w:name="_Toc35393804"/>
      <w:r/>
      <w:bookmarkStart w:id="58" w:name="_Toc21203"/>
      <w:r/>
      <w:bookmarkStart w:id="59" w:name="_Toc11885"/>
      <w:r/>
      <w:bookmarkStart w:id="60" w:name="_Toc35393635"/>
      <w:r/>
      <w:bookmarkStart w:id="61" w:name="_Toc22163"/>
      <w:r>
        <w:rPr>
          <w:rFonts w:hint="eastAsia" w:ascii="宋体" w:hAnsi="宋体" w:eastAsia="宋体" w:cs="宋体"/>
          <w:b/>
          <w:color w:val="auto"/>
          <w:sz w:val="24"/>
        </w:rPr>
        <w:t xml:space="preserve">六、其他补充事宜</w:t>
      </w:r>
      <w:bookmarkEnd w:id="57"/>
      <w:r/>
      <w:bookmarkEnd w:id="58"/>
      <w:r/>
      <w:bookmarkEnd w:id="59"/>
      <w:r/>
      <w:bookmarkEnd w:id="60"/>
      <w:r/>
      <w:bookmarkEnd w:id="61"/>
      <w:r/>
      <w:r/>
    </w:p>
    <w:p>
      <w:pPr>
        <w:pStyle w:val="745"/>
        <w:ind w:left="0" w:righ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62" w:name="_Toc22500"/>
      <w:r/>
      <w:bookmarkStart w:id="63" w:name="_Toc35393805"/>
      <w:r/>
      <w:bookmarkStart w:id="64" w:name="_Toc12240"/>
      <w:r/>
      <w:bookmarkStart w:id="65" w:name="_Toc28359095"/>
      <w:r/>
      <w:bookmarkStart w:id="66" w:name="_Toc13260"/>
      <w:r/>
      <w:bookmarkStart w:id="67" w:name="_Toc35393636"/>
      <w:r/>
      <w:bookmarkStart w:id="68" w:name="_Toc28359018"/>
      <w:r>
        <w:rPr>
          <w:rFonts w:hint="eastAsia" w:ascii="宋体" w:hAnsi="宋体" w:eastAsia="宋体" w:cs="宋体"/>
          <w:color w:val="auto"/>
          <w:sz w:val="24"/>
          <w:szCs w:val="24"/>
        </w:rPr>
        <w:t xml:space="preserve">1、根据苏财购［2020］52号文规定，本次磋商不收取磋商保证金。</w:t>
      </w:r>
      <w:r/>
    </w:p>
    <w:p>
      <w:pPr>
        <w:pStyle w:val="745"/>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2、本招标文件中标注★的款项为实质性响应要求和条件，必须逐条做出满足要求和条件的响应，否则将按无效响应处理</w:t>
      </w:r>
      <w:r/>
    </w:p>
    <w:p>
      <w:pPr>
        <w:pStyle w:val="745"/>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本项目采购方式为竞争性磋商，评审过程中有二次（最后）报价环节。各供应商请关注开标大厅交流区，在开标结束后，请勿离开开标大厅，等待后续磋商、报价、答疑澄清等提示。如供应商因自身原因错过相应环节，造成非实质性响应，责任自负。</w:t>
      </w:r>
      <w:r/>
    </w:p>
    <w:p>
      <w:pPr>
        <w:pStyle w:val="745"/>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所有的响应供应商须在苏采云系统规定时间内填写并提交最后报价，未在磋商小组规定的时间内完成最后报价的视为放弃磋商，其磋商响应按无效响应处理。</w:t>
      </w:r>
      <w:r/>
    </w:p>
    <w:p>
      <w:pPr>
        <w:pStyle w:val="745"/>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pStyle w:val="745"/>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pStyle w:val="745"/>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6、电子采购说明</w:t>
      </w:r>
      <w:r/>
    </w:p>
    <w:p>
      <w:pPr>
        <w:pStyle w:val="745"/>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pStyle w:val="745"/>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http://www.ccgp-jiangsu.gov.cn/jiangsu/zlxz/ee/ee3a4bc5a3454aa2b0d9312230633ce9.html</w:t>
      </w:r>
      <w:r/>
    </w:p>
    <w:p>
      <w:pPr>
        <w:pStyle w:val="745"/>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请投标人按照《操作手册》要求获取</w:t>
      </w:r>
      <w:r>
        <w:rPr>
          <w:rFonts w:hint="eastAsia" w:cs="宋体"/>
          <w:color w:val="auto"/>
          <w:sz w:val="24"/>
          <w:szCs w:val="24"/>
          <w:lang w:val="en-US" w:eastAsia="zh-CN"/>
        </w:rPr>
        <w:t xml:space="preserve">磋商</w:t>
      </w:r>
      <w:r>
        <w:rPr>
          <w:rFonts w:hint="eastAsia" w:ascii="宋体" w:hAnsi="宋体" w:eastAsia="宋体" w:cs="宋体"/>
          <w:color w:val="auto"/>
          <w:sz w:val="24"/>
          <w:szCs w:val="24"/>
        </w:rPr>
        <w:t xml:space="preserve">文件，制作、递交（上传）电子投标文件，参加开标，澄清、说明或者补正。因投标人未按要求操作原因导致电子投标文件被拒绝、造成无效响应的，自行承担一切损失。</w:t>
      </w:r>
      <w:r/>
    </w:p>
    <w:p>
      <w:pPr>
        <w:ind w:firstLine="482"/>
        <w:spacing w:line="360" w:lineRule="auto"/>
        <w:rPr>
          <w:rFonts w:hint="eastAsia" w:ascii="宋体" w:hAnsi="宋体" w:eastAsia="宋体" w:cs="宋体"/>
          <w:b/>
          <w:color w:val="auto"/>
          <w:sz w:val="24"/>
        </w:rPr>
        <w:outlineLvl w:val="1"/>
      </w:pPr>
      <w:r>
        <w:rPr>
          <w:rFonts w:hint="eastAsia" w:ascii="宋体" w:hAnsi="宋体" w:eastAsia="宋体" w:cs="宋体"/>
          <w:b/>
          <w:color w:val="auto"/>
          <w:sz w:val="24"/>
        </w:rPr>
        <w:t xml:space="preserve">七、凡对本次采购提出询问，请按以下方式联系</w:t>
      </w:r>
      <w:bookmarkEnd w:id="62"/>
      <w:r/>
      <w:bookmarkEnd w:id="63"/>
      <w:r/>
      <w:bookmarkEnd w:id="64"/>
      <w:r/>
      <w:bookmarkEnd w:id="65"/>
      <w:r/>
      <w:bookmarkEnd w:id="66"/>
      <w:r/>
      <w:bookmarkEnd w:id="67"/>
      <w:r/>
      <w:bookmarkEnd w:id="68"/>
      <w:r/>
      <w:r/>
    </w:p>
    <w:p>
      <w:pPr>
        <w:ind w:firstLine="480"/>
        <w:spacing w:line="360" w:lineRule="auto"/>
        <w:rPr>
          <w:rFonts w:hint="eastAsia" w:ascii="宋体" w:hAnsi="宋体" w:eastAsia="宋体" w:cs="宋体"/>
          <w:color w:val="auto"/>
          <w:sz w:val="24"/>
        </w:rPr>
      </w:pPr>
      <w:r/>
      <w:bookmarkStart w:id="69" w:name="_Toc35393806"/>
      <w:r/>
      <w:bookmarkStart w:id="70" w:name="_Toc28359019"/>
      <w:r/>
      <w:bookmarkStart w:id="71" w:name="_Toc35393637"/>
      <w:r/>
      <w:bookmarkStart w:id="72" w:name="_Toc28359096"/>
      <w:r>
        <w:rPr>
          <w:rFonts w:hint="eastAsia" w:ascii="宋体" w:hAnsi="宋体" w:eastAsia="宋体" w:cs="宋体"/>
          <w:color w:val="auto"/>
          <w:sz w:val="24"/>
        </w:rPr>
        <w:t xml:space="preserve">1、采购人信息</w:t>
      </w:r>
      <w:bookmarkEnd w:id="69"/>
      <w:r/>
      <w:bookmarkEnd w:id="70"/>
      <w:r/>
      <w:bookmarkEnd w:id="71"/>
      <w:r/>
      <w:bookmarkEnd w:id="72"/>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名    称：</w:t>
      </w:r>
      <w:r>
        <w:rPr>
          <w:rFonts w:hint="eastAsia" w:ascii="宋体" w:hAnsi="宋体" w:cs="宋体"/>
          <w:color w:val="auto"/>
          <w:sz w:val="24"/>
          <w:lang w:eastAsia="zh-CN"/>
        </w:rPr>
        <w:t xml:space="preserve">连云港市苍梧小学教育集团第三小学</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    址：连云港市海州区高新技术开发区学院路57号</w:t>
      </w:r>
      <w:r/>
    </w:p>
    <w:p>
      <w:p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联系方式：</w:t>
      </w:r>
      <w:bookmarkStart w:id="73" w:name="_Toc35393638"/>
      <w:r/>
      <w:bookmarkStart w:id="74" w:name="_Toc28359097"/>
      <w:r/>
      <w:bookmarkStart w:id="75" w:name="_Toc28359020"/>
      <w:r/>
      <w:bookmarkStart w:id="76" w:name="_Toc35393807"/>
      <w:r>
        <w:rPr>
          <w:rFonts w:hint="eastAsia" w:ascii="宋体" w:hAnsi="宋体" w:cs="宋体"/>
          <w:color w:val="auto"/>
          <w:sz w:val="24"/>
          <w:highlight w:val="none"/>
          <w:lang w:eastAsia="zh-CN"/>
        </w:rPr>
        <w:t xml:space="preserve">左校长</w:t>
      </w:r>
      <w:r>
        <w:rPr>
          <w:rFonts w:hint="eastAsia" w:ascii="宋体" w:hAnsi="宋体" w:cs="宋体"/>
          <w:color w:val="auto"/>
          <w:sz w:val="24"/>
          <w:highlight w:val="none"/>
          <w:lang w:val="en-US" w:eastAsia="zh-CN"/>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2、采购代理机构信息</w:t>
      </w:r>
      <w:bookmarkEnd w:id="73"/>
      <w:r/>
      <w:bookmarkEnd w:id="74"/>
      <w:r/>
      <w:bookmarkEnd w:id="75"/>
      <w:r/>
      <w:bookmarkEnd w:id="76"/>
      <w:r/>
      <w:r/>
    </w:p>
    <w:p>
      <w:pPr>
        <w:ind w:firstLine="480"/>
        <w:spacing w:line="360" w:lineRule="auto"/>
        <w:rPr>
          <w:rFonts w:hint="eastAsia" w:ascii="宋体" w:hAnsi="宋体" w:eastAsia="宋体" w:cs="宋体"/>
          <w:color w:val="auto"/>
          <w:sz w:val="24"/>
          <w:lang w:eastAsia="zh-CN"/>
        </w:rPr>
      </w:pPr>
      <w:r/>
      <w:bookmarkStart w:id="77" w:name="_Toc35393808"/>
      <w:r/>
      <w:bookmarkStart w:id="78" w:name="_Toc28359098"/>
      <w:r/>
      <w:bookmarkStart w:id="79" w:name="_Toc35393639"/>
      <w:r/>
      <w:bookmarkStart w:id="80" w:name="_Toc28359021"/>
      <w:r>
        <w:rPr>
          <w:rFonts w:hint="eastAsia" w:ascii="宋体" w:hAnsi="宋体" w:eastAsia="宋体" w:cs="宋体"/>
          <w:color w:val="auto"/>
          <w:sz w:val="24"/>
        </w:rPr>
        <w:t xml:space="preserve">名称：</w:t>
      </w:r>
      <w:r>
        <w:rPr>
          <w:rFonts w:hint="eastAsia" w:ascii="宋体" w:hAnsi="宋体" w:cs="宋体"/>
          <w:color w:val="auto"/>
          <w:sz w:val="24"/>
          <w:lang w:eastAsia="zh-CN"/>
        </w:rPr>
        <w:t xml:space="preserve">江苏仁禾中衡工程咨询房地产估价有限公司</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w:t>
      </w:r>
      <w:r>
        <w:rPr>
          <w:rFonts w:hint="eastAsia" w:ascii="宋体" w:hAnsi="宋体" w:cs="宋体"/>
          <w:sz w:val="24"/>
          <w:highlight w:val="none"/>
        </w:rPr>
        <w:t xml:space="preserve">连云港市海州区解放东路138号</w:t>
      </w:r>
      <w:r/>
    </w:p>
    <w:p>
      <w:p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联系方式：</w:t>
      </w:r>
      <w:r>
        <w:rPr>
          <w:rFonts w:hint="eastAsia" w:ascii="宋体" w:hAnsi="宋体" w:cs="宋体"/>
          <w:color w:val="auto"/>
          <w:sz w:val="24"/>
          <w:lang w:eastAsia="zh-CN"/>
        </w:rPr>
        <w:t xml:space="preserve">许</w:t>
      </w:r>
      <w:r>
        <w:rPr>
          <w:rFonts w:hint="eastAsia" w:ascii="宋体" w:hAnsi="宋体" w:eastAsia="宋体" w:cs="宋体"/>
          <w:color w:val="auto"/>
          <w:sz w:val="24"/>
          <w:lang w:val="en-US" w:eastAsia="zh-CN"/>
        </w:rPr>
        <w:t xml:space="preserve">工</w:t>
      </w:r>
      <w:r>
        <w:rPr>
          <w:rFonts w:hint="eastAsia" w:ascii="宋体" w:hAnsi="宋体" w:cs="宋体"/>
          <w:color w:val="auto"/>
          <w:sz w:val="24"/>
          <w:lang w:val="en-US" w:eastAsia="zh-CN"/>
        </w:rPr>
        <w:t xml:space="preserve">13851238815</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3.项目联系方式</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项目联系人：</w:t>
      </w:r>
      <w:r>
        <w:rPr>
          <w:rFonts w:hint="eastAsia" w:ascii="宋体" w:hAnsi="宋体" w:cs="宋体"/>
          <w:color w:val="auto"/>
          <w:sz w:val="24"/>
          <w:lang w:eastAsia="zh-CN"/>
        </w:rPr>
        <w:t xml:space="preserve">许</w:t>
      </w:r>
      <w:r>
        <w:rPr>
          <w:rFonts w:hint="eastAsia" w:ascii="宋体" w:hAnsi="宋体" w:eastAsia="宋体" w:cs="宋体"/>
          <w:color w:val="auto"/>
          <w:sz w:val="24"/>
          <w:lang w:val="en-US" w:eastAsia="zh-CN"/>
        </w:rPr>
        <w:t xml:space="preserve">工</w:t>
      </w:r>
      <w:r>
        <w:rPr>
          <w:rFonts w:hint="eastAsia" w:ascii="宋体" w:hAnsi="宋体" w:cs="宋体"/>
          <w:color w:val="auto"/>
          <w:sz w:val="24"/>
          <w:lang w:val="en-US" w:eastAsia="zh-CN"/>
        </w:rPr>
        <w:t xml:space="preserve"> </w:t>
      </w:r>
      <w:r>
        <w:rPr>
          <w:rFonts w:hint="eastAsia" w:ascii="宋体" w:hAnsi="宋体" w:eastAsia="宋体" w:cs="宋体"/>
          <w:color w:val="auto"/>
          <w:sz w:val="24"/>
          <w:lang w:val="en-US" w:eastAsia="zh-CN"/>
        </w:rPr>
        <w:t xml:space="preserve"> </w:t>
      </w:r>
      <w:r/>
    </w:p>
    <w:p>
      <w:pPr>
        <w:ind w:firstLine="48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联系电话：13851238815 </w:t>
      </w:r>
      <w:r/>
    </w:p>
    <w:p>
      <w:pPr>
        <w:pStyle w:val="765"/>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ascii="宋体" w:hAnsi="宋体" w:cs="宋体"/>
          <w:color w:val="auto"/>
          <w:sz w:val="24"/>
          <w:lang w:val="en-US" w:eastAsia="zh-CN"/>
        </w:rPr>
      </w:pPr>
      <w:r>
        <w:rPr>
          <w:rFonts w:hint="eastAsia" w:ascii="宋体" w:hAnsi="宋体" w:cs="宋体"/>
          <w:color w:val="auto"/>
          <w:sz w:val="24"/>
          <w:lang w:val="en-US" w:eastAsia="zh-CN"/>
        </w:rPr>
      </w:r>
      <w:bookmarkEnd w:id="77"/>
      <w:bookmarkEnd w:id="78"/>
      <w:bookmarkEnd w:id="79"/>
      <w:bookmarkEnd w:id="80"/>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jc w:val="both"/>
        <w:spacing w:line="36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p>
      <w:pPr>
        <w:pStyle w:val="701"/>
        <w:numPr>
          <w:ilvl w:val="0"/>
          <w:numId w:val="3"/>
        </w:numPr>
        <w:jc w:val="center"/>
        <w:rPr>
          <w:rFonts w:hint="eastAsia" w:ascii="宋体" w:hAnsi="宋体" w:eastAsia="宋体" w:cs="宋体"/>
          <w:b/>
          <w:bCs/>
          <w:color w:val="auto"/>
          <w:sz w:val="40"/>
          <w:szCs w:val="40"/>
        </w:rPr>
      </w:pPr>
      <w:r/>
      <w:bookmarkStart w:id="81" w:name="_Toc21398"/>
      <w:r>
        <w:rPr>
          <w:rFonts w:hint="eastAsia" w:ascii="宋体" w:hAnsi="宋体" w:eastAsia="宋体" w:cs="宋体"/>
          <w:b/>
          <w:bCs/>
          <w:color w:val="auto"/>
          <w:sz w:val="40"/>
          <w:szCs w:val="40"/>
        </w:rPr>
        <w:t xml:space="preserve">磋商须知</w:t>
      </w:r>
      <w:bookmarkEnd w:id="81"/>
      <w:r/>
      <w:r/>
    </w:p>
    <w:p>
      <w:pPr>
        <w:numPr>
          <w:ilvl w:val="0"/>
          <w:numId w:val="0"/>
        </w:numPr>
        <w:rPr>
          <w:rFonts w:hint="eastAsia"/>
          <w:color w:val="auto"/>
        </w:rPr>
      </w:pPr>
      <w:r>
        <w:rPr>
          <w:rFonts w:hint="eastAsia"/>
          <w:color w:val="auto"/>
        </w:rPr>
      </w:r>
      <w:r/>
    </w:p>
    <w:p>
      <w:pPr>
        <w:ind w:firstLine="2160"/>
        <w:spacing w:after="143" w:line="360" w:lineRule="auto"/>
        <w:rPr>
          <w:rFonts w:hint="eastAsia" w:ascii="宋体" w:hAnsi="宋体" w:eastAsia="宋体" w:cs="宋体"/>
          <w:b/>
          <w:bCs/>
          <w:color w:val="auto"/>
          <w:sz w:val="24"/>
        </w:rPr>
      </w:pPr>
      <w:r>
        <w:rPr>
          <w:rFonts w:hint="eastAsia" w:ascii="宋体" w:hAnsi="宋体" w:eastAsia="宋体" w:cs="宋体"/>
          <w:bCs/>
          <w:color w:val="auto"/>
          <w:sz w:val="24"/>
        </w:rPr>
        <w:t xml:space="preserve">（参加竞争性磋商的供应商以下简称“供应商”）</w:t>
      </w:r>
      <w:r/>
    </w:p>
    <w:p>
      <w:pPr>
        <w:pStyle w:val="735"/>
        <w:ind w:firstLine="482"/>
        <w:jc w:val="both"/>
        <w:spacing w:before="0" w:after="0" w:line="360" w:lineRule="auto"/>
        <w:rPr>
          <w:rFonts w:hint="eastAsia" w:ascii="宋体" w:hAnsi="宋体" w:eastAsia="宋体" w:cs="宋体"/>
          <w:color w:val="auto"/>
          <w:sz w:val="24"/>
          <w:szCs w:val="24"/>
        </w:rPr>
        <w:outlineLvl w:val="1"/>
      </w:pPr>
      <w:r/>
      <w:bookmarkStart w:id="82" w:name="_Toc22062"/>
      <w:r/>
      <w:bookmarkStart w:id="83" w:name="_Toc30426"/>
      <w:r/>
      <w:bookmarkStart w:id="84" w:name="_Toc15240"/>
      <w:r>
        <w:rPr>
          <w:rFonts w:hint="eastAsia" w:ascii="宋体" w:hAnsi="宋体" w:eastAsia="宋体" w:cs="宋体"/>
          <w:color w:val="auto"/>
          <w:sz w:val="24"/>
          <w:szCs w:val="24"/>
        </w:rPr>
        <w:t xml:space="preserve">一、总则</w:t>
      </w:r>
      <w:bookmarkEnd w:id="82"/>
      <w:r/>
      <w:bookmarkEnd w:id="83"/>
      <w:r/>
      <w:bookmarkEnd w:id="84"/>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1、工程概况</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1.1 现场条件：具备施工条件。</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1.2 承包方式、质量标准、要求工期，详见采购文件第一章。</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2.1适用范围：本项目采购采用电子化方式，磋商文件、响应文件、开启、评审和成交结果发布全程电子化。</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2.2项目采购方式：本次采购采取竞争性磋商的方式。</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3、合格的供应商</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3.1满足本磋商文件“竞争性磋商采购公告”中“申请人的资格要求”的规定，</w:t>
      </w:r>
      <w:r>
        <w:rPr>
          <w:rFonts w:hint="eastAsia" w:ascii="宋体" w:hAnsi="宋体" w:eastAsia="宋体" w:cs="宋体"/>
          <w:b/>
          <w:bCs/>
          <w:color w:val="auto"/>
          <w:sz w:val="24"/>
        </w:rPr>
        <w:t xml:space="preserve">否则该供应商投标无效</w:t>
      </w:r>
      <w:r>
        <w:rPr>
          <w:rFonts w:hint="eastAsia" w:ascii="宋体" w:hAnsi="宋体" w:eastAsia="宋体" w:cs="宋体"/>
          <w:color w:val="auto"/>
          <w:sz w:val="24"/>
        </w:rPr>
        <w:t xml:space="preserve">。</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3.2 满足本磋商文件实质性要求和条件的规定。</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4、磋商费用</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rPr>
        <w:t xml:space="preserve">4.1供应商应自行承担所有与磋商有关的费用。不论最终的成交结果如何，</w:t>
      </w:r>
      <w:r>
        <w:rPr>
          <w:rFonts w:hint="eastAsia" w:ascii="宋体" w:hAnsi="宋体" w:cs="宋体"/>
          <w:color w:val="auto"/>
          <w:sz w:val="24"/>
          <w:lang w:eastAsia="zh-CN"/>
        </w:rPr>
        <w:t xml:space="preserve">江苏仁禾中衡工程咨询房地产估价有限公司</w:t>
      </w:r>
      <w:r>
        <w:rPr>
          <w:rFonts w:hint="eastAsia" w:ascii="宋体" w:hAnsi="宋体" w:eastAsia="宋体" w:cs="宋体"/>
          <w:color w:val="auto"/>
          <w:sz w:val="24"/>
        </w:rPr>
        <w:t xml:space="preserve">（以下简称代理机构）在任何情况下均无义务和责任承担这些</w:t>
      </w:r>
      <w:r>
        <w:rPr>
          <w:rFonts w:hint="eastAsia" w:ascii="宋体" w:hAnsi="宋体" w:eastAsia="宋体" w:cs="宋体"/>
          <w:color w:val="auto"/>
          <w:sz w:val="24"/>
          <w:highlight w:val="none"/>
        </w:rPr>
        <w:t xml:space="preserve">费用。</w:t>
      </w:r>
      <w:r/>
    </w:p>
    <w:p>
      <w:pPr>
        <w:ind w:firstLine="480"/>
        <w:spacing w:line="360" w:lineRule="auto"/>
        <w:tabs>
          <w:tab w:val="left" w:pos="900" w:leader="none"/>
        </w:tabs>
        <w:rPr>
          <w:rFonts w:hint="eastAsia" w:ascii="宋体" w:hAnsi="宋体" w:cs="宋体"/>
          <w:b/>
          <w:bCs/>
          <w:color w:val="auto"/>
          <w:sz w:val="24"/>
          <w:highlight w:val="none"/>
          <w:lang w:eastAsia="zh-CN"/>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2招标代理费：本招标代理服务收费为《江苏省招标代理服务收费指导意见》（苏招协[2022]002号文]）收费标准的70%收取，清单编制费按照苏建价协（2022）7号文收费标准的70%收取。</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5、磋商文件的约束力</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6、</w:t>
      </w:r>
      <w:bookmarkStart w:id="85" w:name="_Toc20823283"/>
      <w:r/>
      <w:bookmarkStart w:id="86" w:name="_Toc16938527"/>
      <w:r/>
      <w:bookmarkStart w:id="87" w:name="_Toc513029211"/>
      <w:r/>
      <w:bookmarkStart w:id="88" w:name="_Toc462564070"/>
      <w:r>
        <w:rPr>
          <w:rFonts w:hint="eastAsia" w:ascii="宋体" w:hAnsi="宋体" w:eastAsia="宋体" w:cs="宋体"/>
          <w:color w:val="auto"/>
          <w:sz w:val="24"/>
        </w:rPr>
        <w:t xml:space="preserve">磋商文件的</w:t>
      </w:r>
      <w:bookmarkEnd w:id="85"/>
      <w:r/>
      <w:bookmarkEnd w:id="86"/>
      <w:r/>
      <w:bookmarkEnd w:id="87"/>
      <w:r/>
      <w:bookmarkEnd w:id="88"/>
      <w:r>
        <w:rPr>
          <w:rFonts w:hint="eastAsia" w:ascii="宋体" w:hAnsi="宋体" w:eastAsia="宋体" w:cs="宋体"/>
          <w:color w:val="auto"/>
          <w:sz w:val="24"/>
        </w:rPr>
        <w:t xml:space="preserve">询问及修改</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6.1任何要求对磋商文件进行询问的供应商，均应在提交首次响应文件截止时间五日前按“竞争性磋商采购公告”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形式通知所有获取磋商文件的供应商。不足五日的，代理机构应当顺延提交首次响应文件截止时间。</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6.2代理机构或采购人可以视采购项目的具体情况，组织供应商进行现场考察或召开磋商前答疑会，但不单独或分别组织只有一个供应商参加的现场考察和答疑会。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7、磋商文件的解释</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7.1 本磋商文件由代理机构负责解释。</w:t>
      </w:r>
      <w:r/>
    </w:p>
    <w:p>
      <w:pPr>
        <w:pStyle w:val="719"/>
        <w:ind w:firstLine="482"/>
        <w:jc w:val="both"/>
        <w:spacing w:line="360" w:lineRule="auto"/>
        <w:rPr>
          <w:rFonts w:hint="eastAsia" w:ascii="宋体" w:hAnsi="宋体" w:eastAsia="宋体" w:cs="宋体"/>
          <w:b/>
          <w:color w:val="auto"/>
        </w:rPr>
        <w:outlineLvl w:val="1"/>
      </w:pPr>
      <w:r/>
      <w:bookmarkStart w:id="89" w:name="_Toc19920"/>
      <w:r/>
      <w:bookmarkStart w:id="90" w:name="_Toc19401"/>
      <w:r/>
      <w:bookmarkStart w:id="91" w:name="_Toc12179"/>
      <w:r>
        <w:rPr>
          <w:rFonts w:hint="eastAsia" w:ascii="宋体" w:hAnsi="宋体" w:eastAsia="宋体" w:cs="宋体"/>
          <w:b/>
          <w:color w:val="auto"/>
        </w:rPr>
        <w:t xml:space="preserve">二、采购文件的构成及澄清、修改</w:t>
      </w:r>
      <w:bookmarkEnd w:id="89"/>
      <w:r/>
      <w:bookmarkEnd w:id="90"/>
      <w:r/>
      <w:bookmarkEnd w:id="91"/>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1、磋商采购文件构成</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1.1 要求提供的工程内容、磋商过程及合同条款在磋商文件中均有说明，采购文件分为八章，各章的内容如下：</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"_Toc9367"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第一章 竞争性磋商采购公告</w:t>
      </w:r>
      <w:r>
        <w:rPr>
          <w:rFonts w:hint="eastAsia" w:ascii="宋体" w:hAnsi="宋体" w:eastAsia="宋体" w:cs="宋体"/>
          <w:color w:val="auto"/>
          <w:sz w:val="24"/>
        </w:rPr>
        <w:fldChar w:fldCharType="end"/>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"_Toc21453"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第二章 磋商须知</w:t>
      </w:r>
      <w:r>
        <w:rPr>
          <w:rFonts w:hint="eastAsia" w:ascii="宋体" w:hAnsi="宋体" w:eastAsia="宋体" w:cs="宋体"/>
          <w:color w:val="auto"/>
          <w:sz w:val="24"/>
        </w:rPr>
        <w:fldChar w:fldCharType="end"/>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"_Toc14554"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第三章 合同条款及格式</w:t>
      </w:r>
      <w:r>
        <w:rPr>
          <w:rFonts w:hint="eastAsia" w:ascii="宋体" w:hAnsi="宋体" w:eastAsia="宋体" w:cs="宋体"/>
          <w:color w:val="auto"/>
          <w:sz w:val="24"/>
        </w:rPr>
        <w:fldChar w:fldCharType="end"/>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"_Toc18837"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第四章 技术标准和要求</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end"/>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"_Toc28603"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第五章 工程量清单</w:t>
      </w:r>
      <w:r>
        <w:rPr>
          <w:rFonts w:hint="eastAsia" w:ascii="宋体" w:hAnsi="宋体" w:eastAsia="宋体" w:cs="宋体"/>
          <w:color w:val="auto"/>
          <w:sz w:val="24"/>
        </w:rPr>
        <w:tab/>
      </w:r>
      <w:r>
        <w:rPr>
          <w:rFonts w:hint="eastAsia" w:ascii="宋体" w:hAnsi="宋体" w:eastAsia="宋体" w:cs="宋体"/>
          <w:color w:val="auto"/>
          <w:sz w:val="24"/>
        </w:rPr>
        <w:fldChar w:fldCharType="end"/>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"_Toc9612"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第六章 图纸和技术资料</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end"/>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"_Toc31702"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第七章 评审方法和评审标准</w:t>
      </w:r>
      <w:r>
        <w:rPr>
          <w:rFonts w:hint="eastAsia" w:ascii="宋体" w:hAnsi="宋体" w:eastAsia="宋体" w:cs="宋体"/>
          <w:color w:val="auto"/>
          <w:sz w:val="24"/>
        </w:rPr>
        <w:tab/>
      </w:r>
      <w:r>
        <w:rPr>
          <w:rFonts w:hint="eastAsia" w:ascii="宋体" w:hAnsi="宋体" w:eastAsia="宋体" w:cs="宋体"/>
          <w:color w:val="auto"/>
          <w:sz w:val="24"/>
        </w:rPr>
        <w:fldChar w:fldCharType="end"/>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"_Toc3613" </w:instrText>
      </w:r>
      <w:r>
        <w:rPr>
          <w:rFonts w:hint="eastAsia" w:ascii="宋体" w:hAnsi="宋体" w:eastAsia="宋体" w:cs="宋体"/>
          <w:color w:val="auto"/>
        </w:rPr>
        <w:fldChar w:fldCharType="separate"/>
      </w:r>
      <w:r>
        <w:rPr>
          <w:rFonts w:hint="eastAsia" w:ascii="宋体" w:hAnsi="宋体" w:eastAsia="宋体" w:cs="宋体"/>
          <w:color w:val="auto"/>
          <w:sz w:val="24"/>
        </w:rPr>
        <w:t xml:space="preserve">第八章 竞争性磋商响应文件格式</w:t>
      </w:r>
      <w:r>
        <w:rPr>
          <w:rFonts w:hint="eastAsia" w:ascii="宋体" w:hAnsi="宋体" w:eastAsia="宋体" w:cs="宋体"/>
          <w:color w:val="auto"/>
          <w:sz w:val="24"/>
        </w:rPr>
        <w:tab/>
      </w:r>
      <w:r>
        <w:rPr>
          <w:rFonts w:hint="eastAsia" w:ascii="宋体" w:hAnsi="宋体" w:eastAsia="宋体" w:cs="宋体"/>
          <w:color w:val="auto"/>
          <w:sz w:val="24"/>
        </w:rPr>
        <w:fldChar w:fldCharType="end"/>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1.2 根据对采购文件所作的澄清、修改，构成采购文件的组成部分。采购文件的澄清、修改内容与采购文件相互矛盾时，以发布时间在后的文件为准。</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2、采购文件的澄清、修改</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2.1 采购文件的澄清</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2.1.1 本项目采购文件的澄清采用下列第</w:t>
      </w:r>
      <w:r>
        <w:rPr>
          <w:rFonts w:hint="eastAsia" w:ascii="宋体" w:hAnsi="宋体" w:eastAsia="宋体" w:cs="宋体"/>
          <w:color w:val="auto"/>
          <w:sz w:val="24"/>
          <w:u w:val="single"/>
        </w:rPr>
        <w:t xml:space="preserve"> （1）</w:t>
      </w:r>
      <w:r>
        <w:rPr>
          <w:rFonts w:hint="eastAsia" w:ascii="宋体" w:hAnsi="宋体" w:eastAsia="宋体" w:cs="宋体"/>
          <w:color w:val="auto"/>
          <w:sz w:val="24"/>
        </w:rPr>
        <w:t xml:space="preserve">种方式：</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⑴供应商在收到采购文件（含工程量清单）和踏勘现场后，若有疑问需要澄清，应于收到采购文件后</w:t>
      </w:r>
      <w:r>
        <w:rPr>
          <w:rFonts w:hint="eastAsia" w:ascii="宋体" w:hAnsi="宋体" w:eastAsia="宋体" w:cs="宋体"/>
          <w:color w:val="auto"/>
          <w:sz w:val="24"/>
          <w:u w:val="single"/>
        </w:rPr>
        <w:t xml:space="preserve"> 5 </w:t>
      </w:r>
      <w:r>
        <w:rPr>
          <w:rFonts w:hint="eastAsia" w:ascii="宋体" w:hAnsi="宋体" w:eastAsia="宋体" w:cs="宋体"/>
          <w:color w:val="auto"/>
          <w:sz w:val="24"/>
        </w:rPr>
        <w:t xml:space="preserve">日内以书面形式（包括书面文字、传真、电子邮件等）并加盖公章向采购人或代理机构提出，否则，由此产生的后果由供应商负责。</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⑵供应商在收到采购文件和踏勘现场后，若有疑问需要澄清，应于收到采购文件后</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内以书面形式（包括书面文字、传真、电子邮件等）并加盖公章向采购人或代理机构提出，否则，由此产生的后果由供应商负责。其中工程量清单在投标截止前不需要供应商进行澄清和修改，采购人将在发出成交通知书后采用</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rPr>
        <w:t xml:space="preserve">供应商成交后与采购人核对清单；□工程完成后按实际工程量进行</w:t>
      </w:r>
      <w:r>
        <w:rPr>
          <w:rFonts w:hint="eastAsia" w:ascii="宋体" w:hAnsi="宋体" w:cs="宋体"/>
          <w:color w:val="auto"/>
          <w:sz w:val="24"/>
          <w:lang w:val="en-US" w:eastAsia="zh-CN"/>
        </w:rPr>
        <w:t xml:space="preserve">结</w:t>
      </w:r>
      <w:r>
        <w:rPr>
          <w:rFonts w:hint="eastAsia" w:ascii="宋体" w:hAnsi="宋体" w:eastAsia="宋体" w:cs="宋体"/>
          <w:color w:val="auto"/>
          <w:sz w:val="24"/>
        </w:rPr>
        <w:t xml:space="preserve">算；（写明其他具体方式）方式进行核对和修改。</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宋体" w:hAnsi="宋体" w:eastAsia="宋体" w:cs="宋体"/>
          <w:color w:val="auto"/>
          <w:sz w:val="24"/>
          <w:u w:val="single"/>
        </w:rPr>
        <w:t xml:space="preserve"> 5 </w:t>
      </w:r>
      <w:r>
        <w:rPr>
          <w:rFonts w:hint="eastAsia" w:ascii="宋体" w:hAnsi="宋体" w:eastAsia="宋体" w:cs="宋体"/>
          <w:color w:val="auto"/>
          <w:sz w:val="24"/>
        </w:rPr>
        <w:t xml:space="preserve">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3天前予以答复，并将答复以修改通知的方式书面提供给所有供应商，若采购人没有予以答复，供应商在磋商单价中综合考虑。</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2.1.3 供应商对代理机构提供的采购文件所做出的推论、解释和结论，采购人和代理机构概不负责。供应商由于对采购文件的任何推论和误解以及对采购人或代理机构就有关问题的口头解释所造成的后果，均由供应商自负。</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2.1.4 所有问题的解答，采购人或代理机构将在3日内提供给所有供应商。由此而产生的对采购文件内容的修改，以补充通知的方式发出。</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2.2  采购文件的修改</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2.2.1 代理机构对已发出的采购文件进行必要修改的，应当在采购文件要求提交响应文件截止时间3日前，在“江苏政府采购网”上发布更正公告。</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2.2.2 代理机构和采购人可以视采购具体情况，延长响应文件提交截止时间和磋商时间，但至少应当在采购文件要求提交响应文件的截止时间3日前发给所有供应商，并在“江苏政府采购网”媒体上发布变更公告。</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2.3 采购文件发布后，采购人确需对采购文件进行澄清或修改的，采购人将通过“江苏政府采购网”发给所有供应商。</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2.4 澄清或修改文件按采购文件规定发出之时起，视为供应商已收到该澄清文件。供应商未及时查阅采购文件的澄清，或未按照澄清后的采购文件编制响应文件，由此造成的后果由供应商自行承担。</w:t>
      </w:r>
      <w:r/>
    </w:p>
    <w:p>
      <w:pPr>
        <w:pStyle w:val="735"/>
        <w:ind w:firstLine="482"/>
        <w:jc w:val="both"/>
        <w:spacing w:before="0" w:after="0" w:line="360" w:lineRule="auto"/>
        <w:rPr>
          <w:rFonts w:hint="eastAsia" w:ascii="宋体" w:hAnsi="宋体" w:eastAsia="宋体" w:cs="宋体"/>
          <w:color w:val="auto"/>
          <w:sz w:val="24"/>
          <w:szCs w:val="24"/>
        </w:rPr>
        <w:outlineLvl w:val="1"/>
      </w:pPr>
      <w:r/>
      <w:bookmarkStart w:id="92" w:name="_Hlt26954832"/>
      <w:r/>
      <w:bookmarkEnd w:id="92"/>
      <w:r/>
      <w:bookmarkStart w:id="93" w:name="_Hlt26954828"/>
      <w:r/>
      <w:bookmarkEnd w:id="93"/>
      <w:r/>
      <w:bookmarkStart w:id="94" w:name="_Hlt26670348"/>
      <w:r/>
      <w:bookmarkEnd w:id="94"/>
      <w:r/>
      <w:bookmarkStart w:id="95" w:name="_Hlt26670345"/>
      <w:r/>
      <w:bookmarkEnd w:id="95"/>
      <w:r/>
      <w:bookmarkStart w:id="96" w:name="_Hlt26670354"/>
      <w:r/>
      <w:bookmarkEnd w:id="96"/>
      <w:r/>
      <w:bookmarkStart w:id="97" w:name="_Hlt26668969"/>
      <w:r/>
      <w:bookmarkEnd w:id="97"/>
      <w:r/>
      <w:bookmarkStart w:id="98" w:name="_Hlt26954830"/>
      <w:r/>
      <w:bookmarkEnd w:id="98"/>
      <w:r/>
      <w:bookmarkStart w:id="99" w:name="_Toc22951"/>
      <w:r/>
      <w:bookmarkStart w:id="100" w:name="_Toc6725"/>
      <w:r/>
      <w:bookmarkStart w:id="101" w:name="_Toc4098"/>
      <w:r/>
      <w:bookmarkStart w:id="102" w:name="_Toc14577359"/>
      <w:r/>
      <w:bookmarkStart w:id="103" w:name="_Toc61149559"/>
      <w:r/>
      <w:bookmarkStart w:id="104" w:name="_Toc513029221"/>
      <w:r>
        <w:rPr>
          <w:rFonts w:hint="eastAsia" w:ascii="宋体" w:hAnsi="宋体" w:eastAsia="宋体" w:cs="宋体"/>
          <w:color w:val="auto"/>
          <w:sz w:val="24"/>
          <w:szCs w:val="24"/>
        </w:rPr>
        <w:t xml:space="preserve">三、响应文件的报价</w:t>
      </w:r>
      <w:bookmarkEnd w:id="99"/>
      <w:r/>
      <w:bookmarkEnd w:id="100"/>
      <w:r/>
      <w:bookmarkEnd w:id="101"/>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1、磋商响应报价</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1.2 磋商响应报价方式：本工程采用下列第</w:t>
      </w:r>
      <w:r>
        <w:rPr>
          <w:rFonts w:hint="eastAsia" w:ascii="宋体" w:hAnsi="宋体" w:eastAsia="宋体" w:cs="宋体"/>
          <w:color w:val="auto"/>
          <w:sz w:val="24"/>
          <w:u w:val="single"/>
        </w:rPr>
        <w:t xml:space="preserve">  ⑴ </w:t>
      </w:r>
      <w:r>
        <w:rPr>
          <w:rFonts w:hint="eastAsia" w:ascii="宋体" w:hAnsi="宋体" w:eastAsia="宋体" w:cs="宋体"/>
          <w:color w:val="auto"/>
          <w:sz w:val="24"/>
        </w:rPr>
        <w:t xml:space="preserve">种方式。</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⑴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pStyle w:val="745"/>
        <w:ind w:left="0" w:right="0" w:firstLine="482"/>
        <w:keepLines w:val="0"/>
        <w:keepNext w:val="0"/>
        <w:spacing w:before="0" w:beforeAutospacing="0" w:after="0" w:afterAutospacing="0" w:line="360" w:lineRule="auto"/>
        <w:widowControl w:val="off"/>
        <w:rPr>
          <w:rFonts w:hint="eastAsia" w:ascii="宋体" w:hAnsi="宋体" w:eastAsia="宋体" w:cs="宋体"/>
          <w:color w:val="auto"/>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本次采购采用竞争性磋商，因第二轮报价只报总价，结算时，以成交人提交的综合单价同比下浮【下浮率=（1-第二轮报价/第一轮报价）*100% 】。</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⑵可调价格报价：供应商的磋商响应报价可根据合同实施期间的市场变化和政策性调整而变动。</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1.3 磋商响应报价的计价方法</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⑴本工程项目采用</w:t>
      </w:r>
      <w:r>
        <w:rPr>
          <w:rFonts w:hint="eastAsia" w:ascii="宋体" w:hAnsi="宋体" w:eastAsia="宋体" w:cs="宋体"/>
          <w:color w:val="auto"/>
          <w:sz w:val="24"/>
          <w:u w:val="single"/>
        </w:rPr>
        <w:t xml:space="preserve">  工程量清单  </w:t>
      </w:r>
      <w:r>
        <w:rPr>
          <w:rFonts w:hint="eastAsia" w:ascii="宋体" w:hAnsi="宋体" w:eastAsia="宋体" w:cs="宋体"/>
          <w:color w:val="auto"/>
          <w:sz w:val="24"/>
        </w:rPr>
        <w:t xml:space="preserve">计价方法。供应商应根据采购人提供的工程量清单计算单价、合价以及各种政策性费用。</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⑵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⑶施工</w:t>
      </w:r>
      <w:r>
        <w:rPr>
          <w:rFonts w:hint="eastAsia" w:ascii="宋体" w:hAnsi="宋体" w:cs="宋体"/>
          <w:color w:val="auto"/>
          <w:sz w:val="24"/>
          <w:lang w:val="en-US" w:eastAsia="zh-CN"/>
        </w:rPr>
        <w:t xml:space="preserve">包含水电费</w:t>
      </w:r>
      <w:r>
        <w:rPr>
          <w:rFonts w:hint="eastAsia" w:ascii="宋体" w:hAnsi="宋体" w:eastAsia="宋体" w:cs="宋体"/>
          <w:color w:val="auto"/>
          <w:sz w:val="24"/>
        </w:rPr>
        <w:t xml:space="preserve">，采购人不再另行支付。</w:t>
      </w:r>
      <w:r/>
    </w:p>
    <w:p>
      <w:pPr>
        <w:pStyle w:val="765"/>
        <w:ind w:firstLine="482"/>
        <w:keepLines w:val="0"/>
        <w:keepNext w:val="0"/>
        <w:pageBreakBefore w:val="0"/>
        <w:spacing w:line="360" w:lineRule="auto"/>
        <w:widowControl w:val="off"/>
        <w:rPr>
          <w:rFonts w:hint="eastAsia"/>
          <w:color w:val="auto"/>
        </w:rPr>
      </w:pPr>
      <w:r>
        <w:rPr>
          <w:rFonts w:hint="eastAsia" w:ascii="宋体" w:hAnsi="宋体" w:eastAsia="宋体" w:cs="宋体"/>
          <w:b/>
          <w:bCs/>
          <w:color w:val="auto"/>
          <w:sz w:val="24"/>
          <w:szCs w:val="24"/>
          <w:lang w:val="en-US" w:eastAsia="zh-CN" w:bidi="ar-SA"/>
        </w:rPr>
        <w:t xml:space="preserve">⑷本项目采用营改增后的一般计税方法计算报价。</w:t>
      </w:r>
      <w:r/>
    </w:p>
    <w:p>
      <w:pPr>
        <w:ind w:firstLine="480"/>
        <w:keepLines w:val="0"/>
        <w:keepNext w:val="0"/>
        <w:pageBreakBefore w:val="0"/>
        <w:spacing w:line="360" w:lineRule="auto"/>
        <w:widowControl w:val="off"/>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1.4 可选用的工程预算、费用定额和政策性文件</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⑴用于响应报价可参考的依据：《建设工程工程量清单计价规范》（2013版）、《江苏省建设工程费用定额》(2014)、《江苏省建筑与装饰工程计价定额》（2014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《江苏省市政工程计价定额》（2014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《江苏省安装工程计价定额》（2014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近期的《连云港市建设工程材料市场参考价》</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⑵政策性文件按照现行江苏省建设厅、连云港市建设局颁发的相关文件规定执行。</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1.5 </w:t>
      </w:r>
      <w:r>
        <w:rPr>
          <w:rFonts w:hint="eastAsia" w:ascii="宋体" w:hAnsi="宋体" w:eastAsia="宋体" w:cs="宋体"/>
          <w:b/>
          <w:bCs/>
          <w:color w:val="auto"/>
          <w:sz w:val="24"/>
        </w:rPr>
        <w:t xml:space="preserve">经磋商后，最后报价不得高于首次报价，如高于首次报价为无效报价，按照无效响应处理，本项目各分项最终结算价按照磋商首次报价与最后报价同比例变</w:t>
      </w:r>
      <w:r>
        <w:rPr>
          <w:rFonts w:hint="eastAsia" w:ascii="宋体" w:hAnsi="宋体" w:cs="宋体"/>
          <w:b/>
          <w:bCs/>
          <w:color w:val="auto"/>
          <w:sz w:val="24"/>
          <w:lang w:val="en-US" w:eastAsia="zh-CN"/>
        </w:rPr>
        <w:t xml:space="preserve">动</w:t>
      </w:r>
      <w:r>
        <w:rPr>
          <w:rFonts w:hint="eastAsia" w:ascii="宋体" w:hAnsi="宋体" w:eastAsia="宋体" w:cs="宋体"/>
          <w:b/>
          <w:bCs/>
          <w:color w:val="auto"/>
          <w:sz w:val="24"/>
        </w:rPr>
        <w:t xml:space="preserve">。</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2、磋商响应货币</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2.1 磋商响应以人民币报价。</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3、磋商响应报价的编制要求</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3.1 供应商必须按工程量清单，用综合单价法编制投标报价。工程量清单数量、暂定价、独立费不得变更、不得优惠，否则视为重大偏差。</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w:t>
      </w:r>
      <w:r>
        <w:rPr>
          <w:rFonts w:hint="eastAsia" w:ascii="宋体" w:hAnsi="宋体" w:cs="宋体"/>
          <w:color w:val="auto"/>
          <w:sz w:val="24"/>
          <w:lang w:val="en-US" w:eastAsia="zh-CN"/>
        </w:rPr>
        <w:t xml:space="preserve">结</w:t>
      </w:r>
      <w:r>
        <w:rPr>
          <w:rFonts w:hint="eastAsia" w:ascii="宋体" w:hAnsi="宋体" w:eastAsia="宋体" w:cs="宋体"/>
          <w:color w:val="auto"/>
          <w:sz w:val="24"/>
        </w:rPr>
        <w:t xml:space="preserve">算时均不做调整（包括工程施工过程中对同样的和类似的工程进行设计变更部分）。</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3.5 供应商应对工程量清单中的每一个子目均列出单价、合价，没有填写单价、合价的项目，其费用将被认为已包括在工程量清单其它项目的单价、合价中。</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3.7 工程实物量清单项目中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暂定价材料（甲控乙购材料）具体内容详见工程量清单编制说明。</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3.8 下列费用为不可竞争费用，不可竞争费用应严格执行有关费用标准，不得降低标准进行投标，否则作废标处理。</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3.9 本工程由供应商自购的材料，供应商须编制自购主要材料一览表，注明品牌、规格、型号、产地、数量、单价和合价。报价中含材料价差，结算时不予调整。</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3.11 采购人向供应商提供的有关施工现场的资料和数据是采购人现有的能使供应商利用的资料。采购人对供应商由此做出的推论、理解和结论概不负责。</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3.13 供应商应当在采购文件中详细、定量地列出优惠让利的理由及所采取的技术措施。</w:t>
      </w:r>
      <w:r/>
    </w:p>
    <w:p>
      <w:pPr>
        <w:pStyle w:val="735"/>
        <w:ind w:firstLine="482"/>
        <w:jc w:val="both"/>
        <w:spacing w:before="0" w:after="0" w:line="360" w:lineRule="auto"/>
        <w:rPr>
          <w:rFonts w:hint="eastAsia" w:ascii="宋体" w:hAnsi="宋体" w:eastAsia="宋体" w:cs="宋体"/>
          <w:color w:val="auto"/>
          <w:sz w:val="24"/>
          <w:szCs w:val="24"/>
        </w:rPr>
        <w:outlineLvl w:val="1"/>
      </w:pPr>
      <w:r/>
      <w:bookmarkStart w:id="105" w:name="_Toc61149553"/>
      <w:r/>
      <w:bookmarkStart w:id="106" w:name="_Toc14577351"/>
      <w:r/>
      <w:bookmarkStart w:id="107" w:name="_Toc23036"/>
      <w:r/>
      <w:bookmarkStart w:id="108" w:name="_Toc27247"/>
      <w:r/>
      <w:bookmarkStart w:id="109" w:name="_Toc27722"/>
      <w:r/>
      <w:bookmarkStart w:id="110" w:name="_Toc462564072"/>
      <w:r/>
      <w:bookmarkStart w:id="111" w:name="_Toc513029213"/>
      <w:r>
        <w:rPr>
          <w:rFonts w:hint="eastAsia" w:ascii="宋体" w:hAnsi="宋体" w:eastAsia="宋体" w:cs="宋体"/>
          <w:color w:val="auto"/>
          <w:sz w:val="24"/>
          <w:szCs w:val="24"/>
        </w:rPr>
        <w:t xml:space="preserve">四、磋商响应文件的编制</w:t>
      </w:r>
      <w:bookmarkEnd w:id="102"/>
      <w:r/>
      <w:bookmarkEnd w:id="103"/>
      <w:r/>
      <w:bookmarkEnd w:id="104"/>
      <w:r/>
      <w:bookmarkEnd w:id="105"/>
      <w:r/>
      <w:bookmarkEnd w:id="106"/>
      <w:r/>
      <w:bookmarkEnd w:id="107"/>
      <w:r/>
      <w:bookmarkEnd w:id="108"/>
      <w:r/>
      <w:bookmarkEnd w:id="109"/>
      <w:r/>
      <w:bookmarkEnd w:id="110"/>
      <w:r/>
      <w:bookmarkEnd w:id="111"/>
      <w:r/>
      <w:r/>
    </w:p>
    <w:p>
      <w:pPr>
        <w:ind w:firstLine="480"/>
        <w:spacing w:line="360" w:lineRule="auto"/>
        <w:tabs>
          <w:tab w:val="left" w:pos="900" w:leader="none"/>
        </w:tabs>
        <w:rPr>
          <w:rFonts w:hint="eastAsia" w:ascii="宋体" w:hAnsi="宋体" w:eastAsia="宋体" w:cs="宋体"/>
          <w:color w:val="auto"/>
          <w:sz w:val="24"/>
        </w:rPr>
      </w:pPr>
      <w:r/>
      <w:bookmarkStart w:id="112" w:name="_Hlt26670489"/>
      <w:r/>
      <w:bookmarkEnd w:id="112"/>
      <w:r/>
      <w:bookmarkStart w:id="113" w:name="_Hlt26954749"/>
      <w:r/>
      <w:bookmarkEnd w:id="113"/>
      <w:r/>
      <w:bookmarkStart w:id="114" w:name="_Hlt26954850"/>
      <w:r/>
      <w:bookmarkEnd w:id="114"/>
      <w:r/>
      <w:bookmarkStart w:id="115" w:name="_Hlt26954734"/>
      <w:r/>
      <w:bookmarkEnd w:id="115"/>
      <w:r/>
      <w:bookmarkStart w:id="116" w:name="_Hlt26954854"/>
      <w:r/>
      <w:bookmarkEnd w:id="116"/>
      <w:r/>
      <w:bookmarkStart w:id="117" w:name="_Hlt26954739"/>
      <w:r/>
      <w:bookmarkEnd w:id="117"/>
      <w:r/>
      <w:bookmarkStart w:id="118" w:name="_Hlt26670493"/>
      <w:r/>
      <w:bookmarkEnd w:id="118"/>
      <w:r/>
      <w:bookmarkStart w:id="119" w:name="_Hlt26954852"/>
      <w:r/>
      <w:bookmarkEnd w:id="119"/>
      <w:r/>
      <w:bookmarkStart w:id="120" w:name="_Toc14577353"/>
      <w:r/>
      <w:bookmarkStart w:id="121" w:name="_Toc513029215"/>
      <w:r/>
      <w:bookmarkStart w:id="122" w:name="_Toc462564074"/>
      <w:r/>
      <w:bookmarkStart w:id="123" w:name="_Toc61149555"/>
      <w:r/>
      <w:bookmarkStart w:id="124" w:name="_Toc462564073"/>
      <w:r/>
      <w:bookmarkStart w:id="125" w:name="_Toc14577352"/>
      <w:r/>
      <w:bookmarkStart w:id="126" w:name="_Toc61149554"/>
      <w:r/>
      <w:bookmarkStart w:id="127" w:name="_Toc513029214"/>
      <w:r/>
      <w:bookmarkStart w:id="128" w:name="_Toc513029224"/>
      <w:r/>
      <w:bookmarkStart w:id="129" w:name="_Toc14577362"/>
      <w:r/>
      <w:bookmarkStart w:id="130" w:name="_Toc61149562"/>
      <w:r>
        <w:rPr>
          <w:rFonts w:hint="eastAsia" w:ascii="宋体" w:hAnsi="宋体" w:eastAsia="宋体" w:cs="宋体"/>
          <w:color w:val="auto"/>
          <w:sz w:val="24"/>
        </w:rPr>
        <w:t xml:space="preserve">1、响应文件</w:t>
      </w:r>
      <w:bookmarkEnd w:id="120"/>
      <w:r/>
      <w:bookmarkEnd w:id="121"/>
      <w:r/>
      <w:bookmarkEnd w:id="122"/>
      <w:r/>
      <w:bookmarkEnd w:id="123"/>
      <w:r>
        <w:rPr>
          <w:rFonts w:hint="eastAsia" w:ascii="宋体" w:hAnsi="宋体" w:eastAsia="宋体" w:cs="宋体"/>
          <w:color w:val="auto"/>
          <w:sz w:val="24"/>
        </w:rPr>
        <w:t xml:space="preserve">编制要求</w:t>
      </w:r>
      <w:bookmarkEnd w:id="124"/>
      <w:r/>
      <w:bookmarkEnd w:id="125"/>
      <w:r/>
      <w:bookmarkEnd w:id="126"/>
      <w:r/>
      <w:bookmarkEnd w:id="127"/>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1.2 电子响应文件不得涂改、行间插字或删除，如出现上述情况应重新编制。</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1.3 磋商供应商提交的响应文件以及磋商供应商与代理机构及采购人就有关磋商的所有来往函电均应使用简体中文。磋商文件中既有中文也有外文的，以中文意义为准。</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1.4 除技术性能另有规定外，响应文件所使用的度量衡单位，均须采用国家法定计量单位。</w:t>
      </w:r>
      <w:r/>
    </w:p>
    <w:p>
      <w:pPr>
        <w:ind w:firstLine="480"/>
        <w:spacing w:line="360" w:lineRule="auto"/>
        <w:tabs>
          <w:tab w:val="left" w:pos="900" w:leader="none"/>
        </w:tabs>
        <w:rPr>
          <w:rFonts w:hint="eastAsia" w:ascii="宋体" w:hAnsi="宋体" w:eastAsia="宋体" w:cs="宋体"/>
          <w:color w:val="auto"/>
          <w:sz w:val="24"/>
        </w:rPr>
      </w:pPr>
      <w:r/>
      <w:bookmarkStart w:id="131" w:name="_Hlt26670357"/>
      <w:r/>
      <w:bookmarkEnd w:id="131"/>
      <w:r/>
      <w:bookmarkStart w:id="132" w:name="_Hlt26954836"/>
      <w:r/>
      <w:bookmarkEnd w:id="132"/>
      <w:r/>
      <w:bookmarkStart w:id="133" w:name="_Toc61149558"/>
      <w:r/>
      <w:bookmarkStart w:id="134" w:name="_Toc14577357"/>
      <w:r/>
      <w:bookmarkStart w:id="135" w:name="_Toc513029219"/>
      <w:r/>
      <w:bookmarkStart w:id="136" w:name="_Toc513029217"/>
      <w:r/>
      <w:bookmarkStart w:id="137" w:name="_Toc14577355"/>
      <w:r/>
      <w:bookmarkStart w:id="138" w:name="_Toc61149557"/>
      <w:r>
        <w:rPr>
          <w:rFonts w:hint="eastAsia" w:ascii="宋体" w:hAnsi="宋体" w:eastAsia="宋体" w:cs="宋体"/>
          <w:color w:val="auto"/>
          <w:sz w:val="24"/>
        </w:rPr>
        <w:t xml:space="preserve">1.5 磋商供应商必须使用苏采云系统制作工具编制响应文件，系统操作流程详见《操作手册》。</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2、参加磋商供应商资格的文件</w:t>
      </w:r>
      <w:bookmarkEnd w:id="133"/>
      <w:r/>
      <w:bookmarkEnd w:id="134"/>
      <w:r/>
      <w:bookmarkEnd w:id="135"/>
      <w:r>
        <w:rPr>
          <w:rFonts w:hint="eastAsia" w:ascii="宋体" w:hAnsi="宋体" w:eastAsia="宋体" w:cs="宋体"/>
          <w:color w:val="auto"/>
          <w:sz w:val="24"/>
        </w:rPr>
        <w:t xml:space="preserve">证明</w:t>
      </w:r>
      <w:r/>
    </w:p>
    <w:p>
      <w:pPr>
        <w:ind w:firstLine="480"/>
        <w:spacing w:line="360" w:lineRule="auto"/>
        <w:tabs>
          <w:tab w:val="left" w:pos="900" w:leader="none"/>
        </w:tabs>
        <w:rPr>
          <w:rFonts w:hint="eastAsia" w:ascii="宋体" w:hAnsi="宋体" w:eastAsia="宋体" w:cs="宋体"/>
          <w:color w:val="auto"/>
          <w:sz w:val="24"/>
        </w:rPr>
      </w:pPr>
      <w:r/>
      <w:bookmarkStart w:id="139" w:name="_Hlt26668999"/>
      <w:r/>
      <w:bookmarkEnd w:id="139"/>
      <w:r>
        <w:rPr>
          <w:rFonts w:hint="eastAsia" w:ascii="宋体" w:hAnsi="宋体" w:eastAsia="宋体" w:cs="宋体"/>
          <w:color w:val="auto"/>
          <w:sz w:val="24"/>
        </w:rPr>
        <w:t xml:space="preserve">2.1 磋商供应商应提交证明其有资格参加磋商和成交后有能力独立履行合同的文件，并作为其响应文件的一部分。</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2.2 磋商供应商除必须具有履行合同所需提供的设备以及服务的能力外，还必须具备相应的财务、技术方面的能力。</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2.3 磋商供应商应填写并提交磋商文件所附的“资格证明文件”。</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3、磋商响应报价</w:t>
      </w:r>
      <w:bookmarkEnd w:id="136"/>
      <w:r/>
      <w:bookmarkEnd w:id="137"/>
      <w:r/>
      <w:bookmarkStart w:id="140" w:name="_Hlt26670373"/>
      <w:r/>
      <w:bookmarkEnd w:id="140"/>
      <w:r>
        <w:rPr>
          <w:rFonts w:hint="eastAsia" w:ascii="宋体" w:hAnsi="宋体" w:eastAsia="宋体" w:cs="宋体"/>
          <w:color w:val="auto"/>
          <w:sz w:val="24"/>
        </w:rPr>
        <w:t xml:space="preserve">表</w:t>
      </w:r>
      <w:bookmarkEnd w:id="138"/>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3.1 磋商供应商应按照磋商文件规定格式填报磋商响应报价表（含分项报价）。每项产品或服务只允许有一个报价，任何有选择的报价将不予接受，磋商文件中另有规定的按规定执行。</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3.2 标的物</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详见项目需求。</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3.3 有关费用处理</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3.4 其它费用处理</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磋商文件未列明，而磋商供应商认为必须的费用也须列入报价。</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3.5 报价采用的货币</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3.6 磋商响应报价表上的价格应按磋商文件规定填写。</w:t>
      </w:r>
      <w:r/>
    </w:p>
    <w:p>
      <w:pPr>
        <w:ind w:firstLine="480"/>
        <w:spacing w:line="360" w:lineRule="auto"/>
        <w:tabs>
          <w:tab w:val="left" w:pos="900" w:leader="none"/>
        </w:tabs>
        <w:rPr>
          <w:rFonts w:hint="eastAsia" w:ascii="宋体" w:hAnsi="宋体" w:eastAsia="宋体" w:cs="宋体"/>
          <w:color w:val="auto"/>
          <w:sz w:val="24"/>
        </w:rPr>
      </w:pPr>
      <w:r/>
      <w:bookmarkStart w:id="141" w:name="_Hlt26954731"/>
      <w:r/>
      <w:bookmarkEnd w:id="141"/>
      <w:r/>
      <w:bookmarkStart w:id="142" w:name="_Hlt26668983"/>
      <w:r/>
      <w:bookmarkEnd w:id="142"/>
      <w:r/>
      <w:bookmarkStart w:id="143" w:name="_Hlt26954842"/>
      <w:r/>
      <w:bookmarkEnd w:id="143"/>
      <w:r/>
      <w:bookmarkStart w:id="144" w:name="_Hlt26954848"/>
      <w:r/>
      <w:bookmarkEnd w:id="144"/>
      <w:r/>
      <w:bookmarkStart w:id="145" w:name="_Hlt26954846"/>
      <w:r/>
      <w:bookmarkEnd w:id="145"/>
      <w:r/>
      <w:bookmarkStart w:id="146" w:name="_Hlt26670482"/>
      <w:r/>
      <w:bookmarkEnd w:id="146"/>
      <w:r/>
      <w:bookmarkStart w:id="147" w:name="_Hlt26670403"/>
      <w:r/>
      <w:bookmarkEnd w:id="147"/>
      <w:r/>
      <w:bookmarkStart w:id="148" w:name="_Hlt26670486"/>
      <w:r/>
      <w:bookmarkEnd w:id="148"/>
      <w:r/>
      <w:bookmarkStart w:id="149" w:name="_Hlt26954844"/>
      <w:r/>
      <w:bookmarkEnd w:id="149"/>
      <w:r/>
      <w:bookmarkStart w:id="150" w:name="_Hlt26670425"/>
      <w:r/>
      <w:bookmarkEnd w:id="150"/>
      <w:r>
        <w:rPr>
          <w:rFonts w:hint="eastAsia" w:ascii="宋体" w:hAnsi="宋体" w:eastAsia="宋体" w:cs="宋体"/>
          <w:color w:val="auto"/>
          <w:sz w:val="24"/>
        </w:rPr>
        <w:t xml:space="preserve">4、项目需求响应方案</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4.1 提供为完成本项目的总体实施方案。</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4.2 对磋商文件中项目需求的技术与商务条款要求逐项作出应答，并提供依据或说明。</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4.3 磋商供应商认为需要的其他技术文件或说明。</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5、磋商响应文件签署</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6、生成响应文件</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6.1 响应文件制作工具生成内容相同、加密与未加密两个版本电子响应文件，加密版本用于提交上传，未加密版本用于特殊情况处理。</w:t>
      </w:r>
      <w:r/>
    </w:p>
    <w:p>
      <w:pPr>
        <w:pStyle w:val="735"/>
        <w:ind w:firstLine="482"/>
        <w:jc w:val="both"/>
        <w:spacing w:before="0" w:after="0" w:line="360" w:lineRule="auto"/>
        <w:rPr>
          <w:rFonts w:hint="eastAsia" w:ascii="宋体" w:hAnsi="宋体" w:eastAsia="宋体" w:cs="宋体"/>
          <w:color w:val="auto"/>
          <w:sz w:val="24"/>
          <w:szCs w:val="24"/>
        </w:rPr>
        <w:outlineLvl w:val="1"/>
      </w:pPr>
      <w:r/>
      <w:bookmarkStart w:id="151" w:name="_Toc3547"/>
      <w:r/>
      <w:bookmarkStart w:id="152" w:name="_Toc13725"/>
      <w:r/>
      <w:bookmarkStart w:id="153" w:name="_Toc5970"/>
      <w:r>
        <w:rPr>
          <w:rFonts w:hint="eastAsia" w:ascii="宋体" w:hAnsi="宋体" w:eastAsia="宋体" w:cs="宋体"/>
          <w:color w:val="auto"/>
          <w:sz w:val="24"/>
          <w:szCs w:val="24"/>
        </w:rPr>
        <w:t xml:space="preserve">五、响应文件的递交</w:t>
      </w:r>
      <w:bookmarkEnd w:id="128"/>
      <w:r/>
      <w:bookmarkEnd w:id="129"/>
      <w:r/>
      <w:bookmarkEnd w:id="130"/>
      <w:r/>
      <w:bookmarkEnd w:id="151"/>
      <w:r/>
      <w:bookmarkEnd w:id="152"/>
      <w:r/>
      <w:bookmarkEnd w:id="153"/>
      <w:r/>
      <w:r/>
    </w:p>
    <w:p>
      <w:pPr>
        <w:ind w:firstLine="480"/>
        <w:jc w:val="left"/>
        <w:spacing w:line="360" w:lineRule="auto"/>
        <w:tabs>
          <w:tab w:val="left" w:pos="900" w:leader="none"/>
        </w:tabs>
        <w:rPr>
          <w:rFonts w:hint="eastAsia" w:ascii="宋体" w:hAnsi="宋体" w:eastAsia="宋体" w:cs="宋体"/>
          <w:color w:val="auto"/>
          <w:sz w:val="24"/>
        </w:rPr>
      </w:pPr>
      <w:r/>
      <w:bookmarkStart w:id="154" w:name="_Hlt26954864"/>
      <w:r/>
      <w:bookmarkEnd w:id="154"/>
      <w:r/>
      <w:bookmarkStart w:id="155" w:name="_Hlt26670523"/>
      <w:r/>
      <w:bookmarkEnd w:id="155"/>
      <w:r/>
      <w:bookmarkStart w:id="156" w:name="_Hlt26954856"/>
      <w:r/>
      <w:bookmarkEnd w:id="156"/>
      <w:r>
        <w:rPr>
          <w:rFonts w:hint="eastAsia" w:ascii="宋体" w:hAnsi="宋体" w:eastAsia="宋体" w:cs="宋体"/>
          <w:color w:val="auto"/>
          <w:sz w:val="24"/>
        </w:rPr>
        <w:t xml:space="preserve">1、响应文件的上传、修改和撤回</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1.1供应商应当使用响应文件制作工具，生成加密电子响应文件一份，在规定的截止时间前上传，迟于截止时间的不予接收。</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1.2供应商在上传响应文件后可以对其修改或撤回，但这种修改或撤回，必须在规定的响应文件接收截止时间前。 </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1.3如需对电子响应文件修改，供应商可以在截止时间前登录苏采云系统撤回文件，并上传新的响应文件，响应文件以最终完成上传的为准。</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1.4供应商不得在响应文件接收截止时间后修改响应文件，也不得在响应文件接收截止时间起至投标有效期满前撤回响应文件。 </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2、磋商响应有效期</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2.1磋商响应有效期为代理机构规定的响应文件接收截止时间后六十（60）天。磋商响应有效期比规定短地将被视为非实质性响应而予以拒绝。</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735"/>
        <w:ind w:firstLine="482"/>
        <w:jc w:val="both"/>
        <w:spacing w:before="0" w:after="0" w:line="360" w:lineRule="auto"/>
        <w:rPr>
          <w:rFonts w:hint="eastAsia" w:ascii="宋体" w:hAnsi="宋体" w:eastAsia="宋体" w:cs="宋体"/>
          <w:color w:val="auto"/>
          <w:sz w:val="24"/>
          <w:szCs w:val="24"/>
          <w:highlight w:val="none"/>
        </w:rPr>
        <w:outlineLvl w:val="1"/>
      </w:pPr>
      <w:r/>
      <w:bookmarkStart w:id="157" w:name="_Toc14457"/>
      <w:r/>
      <w:bookmarkStart w:id="158" w:name="_Toc5489"/>
      <w:r/>
      <w:bookmarkStart w:id="159" w:name="_Toc26289"/>
      <w:r>
        <w:rPr>
          <w:rFonts w:hint="eastAsia" w:ascii="宋体" w:hAnsi="宋体" w:eastAsia="宋体" w:cs="宋体"/>
          <w:color w:val="auto"/>
          <w:sz w:val="24"/>
          <w:szCs w:val="24"/>
          <w:highlight w:val="none"/>
        </w:rPr>
        <w:t xml:space="preserve">六、磋商与评审</w:t>
      </w:r>
      <w:bookmarkEnd w:id="157"/>
      <w:r/>
      <w:bookmarkEnd w:id="158"/>
      <w:r/>
      <w:bookmarkEnd w:id="159"/>
      <w:r/>
      <w:r/>
    </w:p>
    <w:p>
      <w:pPr>
        <w:ind w:firstLine="480"/>
        <w:jc w:val="left"/>
        <w:spacing w:line="360" w:lineRule="auto"/>
        <w:tabs>
          <w:tab w:val="left" w:pos="900" w:leader="none"/>
        </w:tabs>
        <w:rPr>
          <w:rFonts w:hint="eastAsia" w:ascii="宋体" w:hAnsi="宋体" w:eastAsia="宋体" w:cs="宋体"/>
          <w:color w:val="auto"/>
          <w:sz w:val="24"/>
          <w:highlight w:val="none"/>
        </w:rPr>
      </w:pPr>
      <w:r/>
      <w:bookmarkStart w:id="160" w:name="_Toc513029230"/>
      <w:r/>
      <w:bookmarkStart w:id="161" w:name="_Toc20823302"/>
      <w:r/>
      <w:bookmarkStart w:id="162" w:name="_Toc16938546"/>
      <w:r>
        <w:rPr>
          <w:rFonts w:hint="eastAsia" w:ascii="宋体" w:hAnsi="宋体" w:eastAsia="宋体" w:cs="宋体"/>
          <w:color w:val="auto"/>
          <w:sz w:val="24"/>
          <w:highlight w:val="none"/>
        </w:rPr>
        <w:t xml:space="preserve">1</w:t>
      </w:r>
      <w:bookmarkEnd w:id="160"/>
      <w:r/>
      <w:bookmarkEnd w:id="161"/>
      <w:r/>
      <w:bookmarkEnd w:id="162"/>
      <w:r>
        <w:rPr>
          <w:rFonts w:hint="eastAsia" w:ascii="宋体" w:hAnsi="宋体" w:eastAsia="宋体" w:cs="宋体"/>
          <w:color w:val="auto"/>
          <w:sz w:val="24"/>
          <w:highlight w:val="none"/>
        </w:rPr>
        <w:t xml:space="preserve">、磋商开始仪式</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rPr>
        <w:t xml:space="preserve">1.1</w:t>
      </w:r>
      <w:bookmarkStart w:id="163" w:name="_Toc513029231"/>
      <w:r/>
      <w:bookmarkStart w:id="164" w:name="_Toc16938547"/>
      <w:r/>
      <w:bookmarkStart w:id="165" w:name="_Toc20823303"/>
      <w:r>
        <w:rPr>
          <w:rFonts w:hint="eastAsia" w:ascii="宋体" w:hAnsi="宋体" w:cs="宋体"/>
          <w:color w:val="auto"/>
          <w:sz w:val="24"/>
          <w:highlight w:val="none"/>
        </w:rPr>
        <w:t xml:space="preserve">代理机构将在本磋商文件第一章“</w:t>
      </w:r>
      <w:r>
        <w:rPr>
          <w:rFonts w:hint="eastAsia" w:ascii="宋体" w:hAnsi="宋体" w:cs="宋体"/>
          <w:color w:val="auto"/>
          <w:sz w:val="24"/>
          <w:highlight w:val="none"/>
          <w:lang w:eastAsia="zh-CN"/>
        </w:rPr>
        <w:t xml:space="preserve">竞争性磋商采购公告</w:t>
      </w:r>
      <w:r>
        <w:rPr>
          <w:rFonts w:hint="eastAsia" w:ascii="宋体" w:hAnsi="宋体" w:cs="宋体"/>
          <w:color w:val="auto"/>
          <w:sz w:val="24"/>
          <w:highlight w:val="none"/>
        </w:rPr>
        <w:t xml:space="preserve">”中规定的时间和地点组织磋商开始仪式，仪式由代理机构主持，本项目采用远程不见面交易方式，通过不见面交易系统及配套硬件设备（摄像头、话筒、音响等）完成远程解密，现场疑义及回复，开标唱标（开启）等交互环节，具体详见第一章“</w:t>
      </w:r>
      <w:r>
        <w:rPr>
          <w:rFonts w:hint="eastAsia" w:ascii="宋体" w:hAnsi="宋体" w:cs="宋体"/>
          <w:color w:val="auto"/>
          <w:sz w:val="24"/>
          <w:highlight w:val="none"/>
          <w:lang w:eastAsia="zh-CN"/>
        </w:rPr>
        <w:t xml:space="preserve">竞争性磋商采购公告</w:t>
      </w:r>
      <w:r>
        <w:rPr>
          <w:rFonts w:hint="eastAsia" w:ascii="宋体" w:hAnsi="宋体" w:cs="宋体"/>
          <w:color w:val="auto"/>
          <w:sz w:val="24"/>
          <w:highlight w:val="none"/>
        </w:rPr>
        <w:t xml:space="preserve">”。</w:t>
      </w:r>
      <w:r/>
    </w:p>
    <w:p>
      <w:pPr>
        <w:ind w:firstLine="480"/>
        <w:jc w:val="left"/>
        <w:spacing w:line="360" w:lineRule="auto"/>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bCs/>
          <w:color w:val="auto"/>
          <w:sz w:val="24"/>
          <w:highlight w:val="none"/>
          <w:u w:val="single"/>
        </w:rPr>
        <w:t xml:space="preserve">30</w:t>
      </w:r>
      <w:r>
        <w:rPr>
          <w:rFonts w:hint="eastAsia" w:ascii="宋体" w:hAnsi="宋体" w:eastAsia="宋体" w:cs="宋体"/>
          <w:b/>
          <w:bCs/>
          <w:color w:val="auto"/>
          <w:sz w:val="24"/>
          <w:highlight w:val="none"/>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480"/>
        <w:jc w:val="left"/>
        <w:keepLines w:val="0"/>
        <w:keepNext w:val="0"/>
        <w:pageBreakBefore w:val="0"/>
        <w:spacing w:before="0" w:after="0" w:line="360" w:lineRule="auto"/>
        <w:rPr>
          <w:rFonts w:hint="eastAsia" w:ascii="宋体" w:hAnsi="宋体" w:eastAsia="宋体" w:cs="宋体"/>
          <w:color w:val="auto"/>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en-US" w:bidi="ar-SA"/>
        </w:rPr>
        <w:t xml:space="preserve">1.2 磋商活动的文件解密工作由采购代理机构组织。</w:t>
      </w:r>
      <w:r/>
    </w:p>
    <w:p>
      <w:pPr>
        <w:ind w:firstLine="480"/>
        <w:jc w:val="left"/>
        <w:spacing w:line="360" w:lineRule="auto"/>
        <w:tabs>
          <w:tab w:val="left" w:pos="900" w:leader="none"/>
        </w:tabs>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资格审查和商务技术</w:t>
      </w:r>
      <w:r>
        <w:rPr>
          <w:rFonts w:hint="eastAsia" w:ascii="宋体" w:hAnsi="宋体" w:eastAsia="宋体" w:cs="宋体"/>
          <w:color w:val="auto"/>
          <w:sz w:val="24"/>
          <w:szCs w:val="24"/>
          <w:highlight w:val="none"/>
          <w:lang w:val="en-US" w:eastAsia="zh-CN" w:bidi="ar-SA"/>
        </w:rPr>
        <w:t xml:space="preserve">评审</w:t>
      </w:r>
      <w:r>
        <w:rPr>
          <w:rFonts w:hint="eastAsia" w:ascii="宋体" w:hAnsi="宋体" w:eastAsia="宋体" w:cs="宋体"/>
          <w:color w:val="auto"/>
          <w:sz w:val="24"/>
          <w:szCs w:val="24"/>
          <w:highlight w:val="none"/>
          <w:lang w:val="en-US" w:eastAsia="en-US" w:bidi="ar-SA"/>
        </w:rPr>
        <w:t xml:space="preserve">完毕，供应商就所有内容进行最后报价。</w:t>
      </w:r>
      <w:r/>
    </w:p>
    <w:p>
      <w:pPr>
        <w:ind w:firstLine="480"/>
        <w:jc w:val="left"/>
        <w:spacing w:line="360" w:lineRule="auto"/>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bCs/>
          <w:color w:val="auto"/>
          <w:sz w:val="24"/>
          <w:highlight w:val="none"/>
          <w:u w:val="single"/>
        </w:rPr>
        <w:t xml:space="preserve">20分钟</w:t>
      </w:r>
      <w:r>
        <w:rPr>
          <w:rFonts w:hint="eastAsia" w:ascii="宋体" w:hAnsi="宋体" w:eastAsia="宋体" w:cs="宋体"/>
          <w:b/>
          <w:bCs/>
          <w:color w:val="auto"/>
          <w:sz w:val="24"/>
          <w:highlight w:val="none"/>
        </w:rPr>
        <w:t xml:space="preserve">内填写并提交最后报价，未在规定时间内提交最后报价的，视作无效响应处理。</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2、磋商小组</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2.1磋商开始仪式结束后，代理机构将立即组织磋商小组进行评审、磋商。</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2.2磋商小组由评审专家和采购人代表组成，且人员构成符合政府采购有关规定。</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3、磋商评审过程的保密</w:t>
      </w:r>
      <w:bookmarkEnd w:id="163"/>
      <w:r/>
      <w:bookmarkEnd w:id="164"/>
      <w:r/>
      <w:bookmarkEnd w:id="165"/>
      <w:r>
        <w:rPr>
          <w:rFonts w:hint="eastAsia" w:ascii="宋体" w:hAnsi="宋体" w:eastAsia="宋体" w:cs="宋体"/>
          <w:color w:val="auto"/>
          <w:sz w:val="24"/>
        </w:rPr>
        <w:t xml:space="preserve">与公正</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3.1磋商小组应当遵守评审工作纪律，不得泄露评审情况和评审中获悉的商业秘密。</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3.2在磋商评审过程中，供应商不得以任何行为影响磋商评审过程，否则其响应文件将被作为无效响应文件。</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hint="eastAsia" w:ascii="宋体" w:hAnsi="宋体" w:eastAsia="宋体" w:cs="宋体"/>
          <w:color w:val="auto"/>
          <w:sz w:val="24"/>
        </w:rPr>
      </w:pPr>
      <w:r/>
      <w:bookmarkStart w:id="166" w:name="_Toc16938548"/>
      <w:r/>
      <w:bookmarkStart w:id="167" w:name="_Toc513029232"/>
      <w:r/>
      <w:bookmarkStart w:id="168" w:name="_Toc20823304"/>
      <w:r>
        <w:rPr>
          <w:rFonts w:hint="eastAsia" w:ascii="宋体" w:hAnsi="宋体" w:eastAsia="宋体" w:cs="宋体"/>
          <w:color w:val="auto"/>
          <w:sz w:val="24"/>
        </w:rPr>
        <w:t xml:space="preserve">4、评审过程的澄清</w:t>
      </w:r>
      <w:bookmarkEnd w:id="166"/>
      <w:r/>
      <w:bookmarkEnd w:id="167"/>
      <w:r/>
      <w:bookmarkEnd w:id="168"/>
      <w:r>
        <w:rPr>
          <w:rFonts w:hint="eastAsia" w:ascii="宋体" w:hAnsi="宋体" w:eastAsia="宋体" w:cs="宋体"/>
          <w:color w:val="auto"/>
          <w:sz w:val="24"/>
        </w:rPr>
        <w:t xml:space="preserve">、说明和更正</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745"/>
        <w:ind w:firstLine="480"/>
        <w:jc w:val="both"/>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
          <w:color w:val="auto"/>
        </w:rPr>
        <w:t xml:space="preserve">不得超出响应文件的范围或者改变响应文件的实质性内容。</w:t>
      </w:r>
      <w:r>
        <w:rPr>
          <w:rFonts w:hint="eastAsia" w:ascii="宋体" w:hAnsi="宋体" w:eastAsia="宋体" w:cs="宋体"/>
          <w:color w:val="auto"/>
        </w:rPr>
        <w:t xml:space="preserve">供应商的澄清文件是响应文件的组成部分。</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4.3接到磋商小组澄清、说明或者更正要求的供应商如未按规定作出，其风险由供应商自行承担。</w:t>
      </w:r>
      <w:r/>
    </w:p>
    <w:p>
      <w:pPr>
        <w:ind w:firstLine="480"/>
        <w:jc w:val="left"/>
        <w:spacing w:line="360" w:lineRule="auto"/>
        <w:tabs>
          <w:tab w:val="left" w:pos="900" w:leader="none"/>
        </w:tabs>
        <w:rPr>
          <w:rFonts w:hint="eastAsia" w:ascii="宋体" w:hAnsi="宋体" w:eastAsia="宋体" w:cs="宋体"/>
          <w:color w:val="auto"/>
          <w:sz w:val="24"/>
        </w:rPr>
      </w:pPr>
      <w:r/>
      <w:bookmarkStart w:id="169" w:name="_Toc16938549"/>
      <w:r/>
      <w:bookmarkStart w:id="170" w:name="_Toc513029233"/>
      <w:r/>
      <w:bookmarkStart w:id="171" w:name="_Toc20823305"/>
      <w:r>
        <w:rPr>
          <w:rFonts w:hint="eastAsia" w:ascii="宋体" w:hAnsi="宋体" w:eastAsia="宋体" w:cs="宋体"/>
          <w:color w:val="auto"/>
          <w:sz w:val="24"/>
        </w:rPr>
        <w:t xml:space="preserve">5、对响应文件的初审</w:t>
      </w:r>
      <w:bookmarkEnd w:id="169"/>
      <w:r/>
      <w:bookmarkEnd w:id="170"/>
      <w:r/>
      <w:bookmarkEnd w:id="171"/>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5.1响应文件初审分为资格性审查和符合性审查。</w:t>
      </w:r>
      <w:r/>
    </w:p>
    <w:p>
      <w:pPr>
        <w:ind w:firstLine="482"/>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b/>
          <w:bCs/>
          <w:color w:val="auto"/>
          <w:sz w:val="24"/>
        </w:rPr>
        <w:t xml:space="preserve">资格性检查：</w:t>
      </w:r>
      <w:r>
        <w:rPr>
          <w:rFonts w:hint="eastAsia" w:ascii="宋体" w:hAnsi="宋体" w:eastAsia="宋体" w:cs="宋体"/>
          <w:color w:val="auto"/>
          <w:sz w:val="24"/>
        </w:rPr>
        <w:t xml:space="preserve">依据法律法规和磋商文件的规定，对响应文件中的资格证明文件进行审查，以确定供应商是否具备参加磋商的资格。</w:t>
      </w:r>
      <w:r/>
    </w:p>
    <w:p>
      <w:pPr>
        <w:pStyle w:val="745"/>
        <w:ind w:firstLine="480"/>
        <w:jc w:val="both"/>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磋商小组在进行资格审查的同时，将在“信用中国”网站（www.creditchina.gov.cn）查询供应商的信用记录，以确定供应商是否具备磋商资格，查询结果留存并归档。</w:t>
      </w:r>
      <w:r/>
    </w:p>
    <w:p>
      <w:pPr>
        <w:ind w:firstLine="482"/>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b/>
          <w:bCs/>
          <w:color w:val="auto"/>
          <w:sz w:val="24"/>
        </w:rPr>
        <w:t xml:space="preserve">符合性检查：</w:t>
      </w:r>
      <w:r>
        <w:rPr>
          <w:rFonts w:hint="eastAsia" w:ascii="宋体" w:hAnsi="宋体" w:eastAsia="宋体" w:cs="宋体"/>
          <w:color w:val="auto"/>
          <w:sz w:val="24"/>
        </w:rPr>
        <w:t xml:space="preserve">依据磋商文件的规定，从响应文件的有效性、完整性和对磋商文件的响应程度进行审查，以确定是否对磋商文件的实质性要求作出响应。</w:t>
      </w:r>
      <w:r/>
    </w:p>
    <w:p>
      <w:pPr>
        <w:ind w:firstLine="482"/>
        <w:jc w:val="left"/>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未实质性响应磋商文件的响应文件按无效响应处理</w:t>
      </w:r>
      <w:r>
        <w:rPr>
          <w:rFonts w:hint="eastAsia" w:ascii="宋体" w:hAnsi="宋体" w:eastAsia="宋体" w:cs="宋体"/>
          <w:color w:val="auto"/>
          <w:sz w:val="24"/>
        </w:rPr>
        <w:t xml:space="preserve">，磋商小组应当告知提交响应文件的供应商。</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2"/>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b/>
          <w:color w:val="auto"/>
          <w:sz w:val="24"/>
        </w:rPr>
        <w:t xml:space="preserve">所谓重大偏离或保留，</w:t>
      </w:r>
      <w:r>
        <w:rPr>
          <w:rFonts w:hint="eastAsia" w:ascii="宋体" w:hAnsi="宋体" w:eastAsia="宋体" w:cs="宋体"/>
          <w:color w:val="auto"/>
          <w:sz w:val="24"/>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745"/>
        <w:ind w:firstLine="480"/>
        <w:jc w:val="both"/>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5.3被认定为未实质性响应磋商文件的响应文件的情形</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（1）授权代表参与政府采购活动，未附法定代表人授权书，或法定代表人授权书不符合规定格式的；</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（2）未按照磋商文件规定要求签署、盖章的；</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（3）供应商在报价时采用选择性报价；</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（4）响应文件报价低于工程成本或者高于磋商文件设定的预算价或者采购人设置的最高限价的；</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（5）同一磋商供应商提交两个及以上不同的响应文件或者磋商报价，但磋商文件要求提交备选磋商的除外；</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（6）响应文件中已标价工程量清单与磋商文件规定的暂估价、暂列金额及甲供材料价格不一致的；</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（7）响应文件中已标价工程量清单与磋商文件明确列出的不可竞争费用项目或费率或计算基础不一致的；</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（8）响应文件的已标价工程量清单与磋商文件提供的工程量清单中的项目编码、项目名称、项目特征、计量单位、工程量不一致的；</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（9）报价出现前后不一致的，无法按照规定修正或按照规定修正，供应商不确认的；</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（10）响应文件含有采购人不能接受的附加条件的；</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（11）供应商不具备磋商文件中规定资格要求的；</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（12）不符合法律、法规和磋商文件中规定的其他实质性要求和条件的（本磋商文件中标注★的款项为实质性要求和条件）；</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（13）供应商在苏采云系统规定的时间内未成功解密电子响应文件的；</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（14）供应商提交的电子响应文件因其自身原因出现问题导致无法电子评审的；</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（15）</w:t>
      </w:r>
      <w:r>
        <w:rPr>
          <w:rFonts w:hint="eastAsia" w:ascii="宋体" w:hAnsi="宋体" w:eastAsia="宋体" w:cs="宋体"/>
          <w:color w:val="auto"/>
          <w:sz w:val="24"/>
          <w:szCs w:val="24"/>
        </w:rPr>
        <w:t xml:space="preserve">不同的供应商响应文件制作机器码、文件创建标识码一致的</w:t>
      </w:r>
      <w:r>
        <w:rPr>
          <w:rFonts w:hint="eastAsia" w:ascii="宋体" w:hAnsi="宋体" w:eastAsia="宋体" w:cs="宋体"/>
          <w:color w:val="auto"/>
          <w:sz w:val="24"/>
        </w:rPr>
        <w:t xml:space="preserve">。</w:t>
      </w:r>
      <w:r/>
    </w:p>
    <w:p>
      <w:pPr>
        <w:pStyle w:val="745"/>
        <w:ind w:firstLine="480"/>
        <w:jc w:val="both"/>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（16）本项目执行苏财购【2025】62号文《关于推动解决政府采购异常低价问题相关工作的通知》，采购人应在采购文件中明确评审委员会启动异常低价投标（响应）审查的情形和具体要求，包括：</w:t>
      </w:r>
      <w:r/>
    </w:p>
    <w:p>
      <w:pPr>
        <w:pStyle w:val="745"/>
        <w:ind w:left="0" w:right="0" w:firstLine="480"/>
        <w:keepLines w:val="0"/>
        <w:keepNext w:val="0"/>
        <w:spacing w:before="0" w:beforeAutospacing="0" w:after="0" w:afterAutospacing="0" w:line="360" w:lineRule="auto"/>
        <w:widowControl w:val="off"/>
        <w:tabs>
          <w:tab w:val="left" w:pos="901"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（一）评审过程中出现下列情形之一的，评审委员会应当启动异常低价投标（响应）审查程序：</w:t>
      </w:r>
      <w:r/>
    </w:p>
    <w:p>
      <w:pPr>
        <w:pStyle w:val="745"/>
        <w:ind w:left="0" w:firstLine="480"/>
        <w:keepLines w:val="0"/>
        <w:keepNext w:val="0"/>
        <w:spacing w:before="0" w:beforeAutospacing="0" w:after="0" w:afterAutospacing="0" w:line="360" w:lineRule="auto"/>
        <w:widowControl w:val="off"/>
        <w:tabs>
          <w:tab w:val="left" w:pos="901"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1.投标（响应）报价低于采购项目预算50%的，即投标（响应）报价&lt;采购项目预算×50%；</w:t>
      </w:r>
      <w:r/>
    </w:p>
    <w:p>
      <w:pPr>
        <w:pStyle w:val="745"/>
        <w:ind w:left="0" w:firstLine="480"/>
        <w:keepLines w:val="0"/>
        <w:keepNext w:val="0"/>
        <w:spacing w:before="0" w:beforeAutospacing="0" w:after="0" w:afterAutospacing="0" w:line="360" w:lineRule="auto"/>
        <w:widowControl w:val="off"/>
        <w:tabs>
          <w:tab w:val="left" w:pos="901"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2.投标（响应）报价低于采购项目最高限价45%的，即投标（响应）报价&lt;采购项目最高限价×45%；</w:t>
      </w:r>
      <w:r/>
    </w:p>
    <w:p>
      <w:pPr>
        <w:pStyle w:val="745"/>
        <w:ind w:left="0" w:firstLine="480"/>
        <w:keepLines w:val="0"/>
        <w:keepNext w:val="0"/>
        <w:spacing w:before="0" w:beforeAutospacing="0" w:after="0" w:afterAutospacing="0" w:line="360" w:lineRule="auto"/>
        <w:widowControl w:val="off"/>
        <w:tabs>
          <w:tab w:val="left" w:pos="901"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3.评审委员会认定的供应商报价过低、有可能影响产品质量或者不能诚信履约的其他情形。</w:t>
      </w:r>
      <w:r/>
    </w:p>
    <w:p>
      <w:pPr>
        <w:pStyle w:val="745"/>
        <w:ind w:left="0" w:firstLine="480"/>
        <w:keepLines w:val="0"/>
        <w:keepNext w:val="0"/>
        <w:spacing w:before="0" w:beforeAutospacing="0" w:after="0" w:afterAutospacing="0" w:line="360" w:lineRule="auto"/>
        <w:widowControl w:val="off"/>
        <w:tabs>
          <w:tab w:val="left" w:pos="901" w:leader="none"/>
        </w:tabs>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45"/>
        <w:ind w:left="0" w:right="0" w:firstLine="480"/>
        <w:keepLines w:val="0"/>
        <w:keepNext w:val="0"/>
        <w:spacing w:before="0" w:beforeAutospacing="0" w:after="0" w:afterAutospacing="0" w:line="360" w:lineRule="auto"/>
        <w:widowControl w:val="off"/>
        <w:tabs>
          <w:tab w:val="left" w:pos="901" w:leader="none"/>
        </w:tabs>
        <w:rPr>
          <w:rFonts w:hint="default" w:ascii="宋体" w:hAnsi="宋体" w:eastAsia="宋体" w:cs="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（17）其他法律、法规及本磋商文件规定的属未实质性响应的响应文件的情形。</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w:t>
      </w:r>
      <w:r>
        <w:rPr>
          <w:rFonts w:hint="eastAsia" w:ascii="宋体" w:hAnsi="宋体" w:eastAsia="宋体" w:cs="宋体"/>
          <w:b/>
          <w:bCs/>
          <w:color w:val="auto"/>
          <w:sz w:val="24"/>
        </w:rPr>
        <w:t xml:space="preserve">未实质性响应磋商文件的响应文件按无效响应处理</w:t>
      </w:r>
      <w:r>
        <w:rPr>
          <w:rFonts w:hint="eastAsia" w:ascii="宋体" w:hAnsi="宋体" w:eastAsia="宋体" w:cs="宋体"/>
          <w:color w:val="auto"/>
          <w:sz w:val="24"/>
        </w:rPr>
        <w:t xml:space="preserve">，磋商小组应当告知提交响应文件的供应商。供应商不得通过修改或撤销不合要求的偏离或保留而使其响应文件成为实质性响应的文件。</w:t>
      </w:r>
      <w:r/>
    </w:p>
    <w:p>
      <w:pPr>
        <w:ind w:firstLine="480"/>
        <w:jc w:val="left"/>
        <w:spacing w:line="360" w:lineRule="auto"/>
        <w:tabs>
          <w:tab w:val="left" w:pos="900" w:leader="none"/>
        </w:tabs>
        <w:rPr>
          <w:rFonts w:hint="eastAsia" w:ascii="宋体" w:hAnsi="宋体" w:eastAsia="宋体" w:cs="宋体"/>
          <w:color w:val="auto"/>
          <w:sz w:val="24"/>
        </w:rPr>
      </w:pPr>
      <w:r/>
      <w:bookmarkStart w:id="172" w:name="_Toc16938550"/>
      <w:r/>
      <w:bookmarkStart w:id="173" w:name="_Toc20823306"/>
      <w:r/>
      <w:bookmarkStart w:id="174" w:name="_Toc513029234"/>
      <w:r>
        <w:rPr>
          <w:rFonts w:hint="eastAsia" w:ascii="宋体" w:hAnsi="宋体" w:eastAsia="宋体" w:cs="宋体"/>
          <w:color w:val="auto"/>
          <w:sz w:val="24"/>
        </w:rPr>
        <w:t xml:space="preserve">6</w:t>
      </w:r>
      <w:bookmarkEnd w:id="172"/>
      <w:r/>
      <w:bookmarkEnd w:id="173"/>
      <w:r/>
      <w:bookmarkEnd w:id="174"/>
      <w:r>
        <w:rPr>
          <w:rFonts w:hint="eastAsia" w:ascii="宋体" w:hAnsi="宋体" w:eastAsia="宋体" w:cs="宋体"/>
          <w:color w:val="auto"/>
          <w:sz w:val="24"/>
        </w:rPr>
        <w:t xml:space="preserve">、磋商程序及评审方法和标准</w:t>
      </w:r>
      <w:r/>
    </w:p>
    <w:p>
      <w:pPr>
        <w:ind w:firstLine="480"/>
        <w:jc w:val="left"/>
        <w:spacing w:line="360" w:lineRule="auto"/>
        <w:tabs>
          <w:tab w:val="left" w:pos="900" w:leader="none"/>
        </w:tabs>
        <w:rPr>
          <w:rFonts w:hint="eastAsia" w:ascii="宋体" w:hAnsi="宋体" w:eastAsia="宋体" w:cs="宋体"/>
          <w:color w:val="auto"/>
          <w:sz w:val="24"/>
        </w:rPr>
      </w:pPr>
      <w:r/>
      <w:bookmarkStart w:id="175" w:name="_Toc16938551"/>
      <w:r/>
      <w:bookmarkStart w:id="176" w:name="_Toc20823307"/>
      <w:r/>
      <w:bookmarkStart w:id="177" w:name="_Toc513029235"/>
      <w:r>
        <w:rPr>
          <w:rFonts w:hint="eastAsia" w:ascii="宋体" w:hAnsi="宋体" w:eastAsia="宋体" w:cs="宋体"/>
          <w:color w:val="auto"/>
          <w:sz w:val="24"/>
        </w:rPr>
        <w:t xml:space="preserve">6.1磋商程序</w:t>
      </w:r>
      <w:r/>
    </w:p>
    <w:p>
      <w:pPr>
        <w:pStyle w:val="74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4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4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4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4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4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6.2评审方法和标准</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6.2.1评审方法</w:t>
      </w:r>
      <w:r/>
    </w:p>
    <w:p>
      <w:pPr>
        <w:ind w:firstLine="482"/>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b/>
          <w:color w:val="auto"/>
          <w:sz w:val="24"/>
        </w:rPr>
        <w:t xml:space="preserve">经磋商确定最终采购需求和提交最后磋商报价的供应商后，由磋商小组采用综合评分法对提交最后磋商报价的磋商供应商的响应文件和最后磋商报价进行综合评分。</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综合评分法，是指响应文件满足磋商文件全部实质性要求且按评审因素的量化指标评审得分最高的磋商供应商为成交候选供应商的评审方法。</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评审时，磋商小组各成员独立对每个有效响应的文件进行评价、打分，然后汇总每个供应商每项评分因素的得分。</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6.2.2评审标准</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见本磋商文件第七章“评审方法和评审标准”。</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6.2.3 评审报告</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6.3采购活动终止的情况</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出现下列情形之一的，本次竞争性磋商采购活动将被终止：</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（1）因情况变化，不再符合规定的竞争性磋商采购方式适用情形的；</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（2）出现影响采购公正的违法、违规行为的；</w:t>
      </w:r>
      <w:bookmarkEnd w:id="175"/>
      <w:r/>
      <w:bookmarkEnd w:id="176"/>
      <w:r/>
      <w:bookmarkEnd w:id="177"/>
      <w:r/>
      <w:r/>
    </w:p>
    <w:p>
      <w:pPr>
        <w:pStyle w:val="74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（3）除本磋商文件第二章第6.1.2条第三款规定的情形外，在采购过程中符合要求的供应商或者最后报价未超过采购预算的供应商不足3家的。</w:t>
      </w:r>
      <w:r/>
    </w:p>
    <w:p>
      <w:pPr>
        <w:pStyle w:val="745"/>
        <w:ind w:firstLine="480"/>
        <w:jc w:val="both"/>
        <w:spacing w:before="0" w:beforeAutospacing="0" w:after="0" w:afterAutospacing="0" w:line="360" w:lineRule="auto"/>
        <w:widowControl w:val="off"/>
        <w:tabs>
          <w:tab w:val="left" w:pos="901"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（4）在苏采云系统规定时间内成功解密电子响应文件的供应商不足3家的。</w:t>
      </w:r>
      <w:r/>
    </w:p>
    <w:p>
      <w:pPr>
        <w:pStyle w:val="735"/>
        <w:ind w:firstLine="482"/>
        <w:jc w:val="both"/>
        <w:spacing w:before="0" w:after="0" w:line="360" w:lineRule="auto"/>
        <w:rPr>
          <w:rFonts w:hint="eastAsia" w:ascii="宋体" w:hAnsi="宋体" w:eastAsia="宋体" w:cs="宋体"/>
          <w:color w:val="auto"/>
          <w:sz w:val="24"/>
          <w:szCs w:val="24"/>
        </w:rPr>
        <w:outlineLvl w:val="1"/>
      </w:pPr>
      <w:r/>
      <w:bookmarkStart w:id="178" w:name="_Toc5852"/>
      <w:r/>
      <w:bookmarkStart w:id="179" w:name="_Toc17417"/>
      <w:r/>
      <w:bookmarkStart w:id="180" w:name="_Toc18462"/>
      <w:r>
        <w:rPr>
          <w:rFonts w:hint="eastAsia" w:ascii="宋体" w:hAnsi="宋体" w:eastAsia="宋体" w:cs="宋体"/>
          <w:color w:val="auto"/>
          <w:sz w:val="24"/>
          <w:szCs w:val="24"/>
        </w:rPr>
        <w:t xml:space="preserve">七、成交</w:t>
      </w:r>
      <w:bookmarkEnd w:id="178"/>
      <w:r/>
      <w:bookmarkEnd w:id="179"/>
      <w:r/>
      <w:bookmarkEnd w:id="180"/>
      <w:r/>
      <w:r/>
    </w:p>
    <w:p>
      <w:pPr>
        <w:ind w:firstLine="480"/>
        <w:spacing w:line="360" w:lineRule="auto"/>
        <w:tabs>
          <w:tab w:val="left" w:pos="900" w:leader="none"/>
        </w:tabs>
        <w:rPr>
          <w:rFonts w:hint="eastAsia" w:ascii="宋体" w:hAnsi="宋体" w:eastAsia="宋体" w:cs="宋体"/>
          <w:color w:val="auto"/>
          <w:sz w:val="24"/>
        </w:rPr>
      </w:pPr>
      <w:r/>
      <w:bookmarkStart w:id="181" w:name="_Toc513029238"/>
      <w:r/>
      <w:bookmarkStart w:id="182" w:name="_Toc16938554"/>
      <w:r/>
      <w:bookmarkStart w:id="183" w:name="_Toc20823310"/>
      <w:r>
        <w:rPr>
          <w:rFonts w:hint="eastAsia" w:ascii="宋体" w:hAnsi="宋体" w:eastAsia="宋体" w:cs="宋体"/>
          <w:color w:val="auto"/>
          <w:sz w:val="24"/>
        </w:rPr>
        <w:t xml:space="preserve">1、</w:t>
      </w:r>
      <w:bookmarkEnd w:id="181"/>
      <w:r>
        <w:rPr>
          <w:rFonts w:hint="eastAsia" w:ascii="宋体" w:hAnsi="宋体" w:eastAsia="宋体" w:cs="宋体"/>
          <w:color w:val="auto"/>
          <w:sz w:val="24"/>
        </w:rPr>
        <w:t xml:space="preserve">确定</w:t>
      </w:r>
      <w:bookmarkEnd w:id="182"/>
      <w:r/>
      <w:bookmarkEnd w:id="183"/>
      <w:r>
        <w:rPr>
          <w:rFonts w:hint="eastAsia" w:ascii="宋体" w:hAnsi="宋体" w:eastAsia="宋体" w:cs="宋体"/>
          <w:color w:val="auto"/>
          <w:sz w:val="24"/>
        </w:rPr>
        <w:t xml:space="preserve">成交单位</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eastAsia="宋体" w:cs="宋体"/>
          <w:b/>
          <w:color w:val="auto"/>
          <w:sz w:val="24"/>
        </w:rPr>
      </w:pPr>
      <w:r>
        <w:rPr>
          <w:rFonts w:hint="eastAsia" w:ascii="宋体" w:hAnsi="宋体" w:eastAsia="宋体" w:cs="宋体"/>
          <w:color w:val="auto"/>
          <w:sz w:val="24"/>
        </w:rPr>
        <w:t xml:space="preserve">1.2根据采购人的授权，磋商小组直接确定排名第一的成交候选供应商为成交供应商，代理机构将在“江苏政府采购网”发布成交结果公告，公告期限为1个工作日，同时向成交供应商发出成交通知书。</w:t>
      </w:r>
      <w:r>
        <w:rPr>
          <w:rFonts w:hint="eastAsia" w:ascii="宋体" w:hAnsi="宋体" w:eastAsia="宋体" w:cs="宋体"/>
          <w:b/>
          <w:color w:val="auto"/>
          <w:sz w:val="24"/>
        </w:rPr>
        <w:t xml:space="preserve">成交供应商在领取成交通知书时，需提供3份与电子响应文件一致的纸质打印文件。</w:t>
      </w:r>
      <w:r/>
    </w:p>
    <w:p>
      <w:pPr>
        <w:pStyle w:val="745"/>
        <w:ind w:firstLine="480"/>
        <w:jc w:val="both"/>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45"/>
        <w:ind w:firstLine="480"/>
        <w:jc w:val="both"/>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1.4成交通知书将是合同的一个组成部分。对采购人和成交供应商均具有法律效力。成交通知书发出后，采购人改变成交结果的，或者成交供应商放弃成交项目的，应当依法承担法律责任。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2、成交供应商有下列情形之一的，将取消其成交资格：</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（1）提供虚假材料谋取成交的；</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（2）与评审专家、采购人、其他供应商或者代理机构工作人员恶意串通的；</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（3）向评审专家、采购人或代理机构工作人员行贿或者提供其他不正当利益的；</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（4）不满足本磋商文件规定的实质性要求，但在评审过程中又未被磋商小组发现的；</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（5）成交后无正当理由拒不与采购人签订采购合同或者未按照磋商文件确定的事项签订采购合同的；</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（6）将采购合同转包的；</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（7）法律、法规、规章规定的属于成交无效的其他情形。</w:t>
      </w:r>
      <w:r/>
    </w:p>
    <w:p>
      <w:pPr>
        <w:pStyle w:val="735"/>
        <w:ind w:firstLine="482"/>
        <w:jc w:val="both"/>
        <w:spacing w:before="0" w:after="0" w:line="360" w:lineRule="auto"/>
        <w:rPr>
          <w:rFonts w:hint="eastAsia" w:ascii="宋体" w:hAnsi="宋体" w:eastAsia="宋体" w:cs="宋体"/>
          <w:color w:val="auto"/>
          <w:sz w:val="24"/>
          <w:szCs w:val="24"/>
        </w:rPr>
        <w:outlineLvl w:val="1"/>
      </w:pPr>
      <w:r/>
      <w:bookmarkStart w:id="184" w:name="_Toc20016"/>
      <w:r/>
      <w:bookmarkStart w:id="185" w:name="_Toc29283"/>
      <w:r/>
      <w:bookmarkStart w:id="186" w:name="_Toc22390"/>
      <w:r/>
      <w:bookmarkStart w:id="187" w:name="_Toc20823309"/>
      <w:r/>
      <w:bookmarkStart w:id="188" w:name="_Toc16938553"/>
      <w:r/>
      <w:bookmarkStart w:id="189" w:name="_Toc513029237"/>
      <w:r>
        <w:rPr>
          <w:rFonts w:hint="eastAsia" w:ascii="宋体" w:hAnsi="宋体" w:eastAsia="宋体" w:cs="宋体"/>
          <w:color w:val="auto"/>
          <w:sz w:val="24"/>
          <w:szCs w:val="24"/>
        </w:rPr>
        <w:t xml:space="preserve">八、合同签订相关事项</w:t>
      </w:r>
      <w:bookmarkEnd w:id="184"/>
      <w:r/>
      <w:bookmarkEnd w:id="185"/>
      <w:r/>
      <w:bookmarkEnd w:id="186"/>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1、签订合同</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rPr>
        <w:t xml:space="preserve">1.l 采购人与成交供应商应当在成交通知书发出之日起30日内，按照磋商文件确定的合同文本以及采购标的、技术和服务要求等事项签订采购合同。</w:t>
      </w:r>
      <w:r>
        <w:rPr>
          <w:rFonts w:hint="eastAsia" w:ascii="宋体" w:hAnsi="宋体" w:eastAsia="宋体" w:cs="宋体"/>
          <w:color w:val="auto"/>
          <w:sz w:val="24"/>
          <w:highlight w:val="none"/>
        </w:rPr>
        <w:t xml:space="preserve">自合同签订之日起2个工作日内将合同在“</w:t>
      </w:r>
      <w:r>
        <w:rPr>
          <w:rFonts w:hint="eastAsia" w:ascii="宋体" w:hAnsi="宋体" w:eastAsia="宋体" w:cs="宋体"/>
          <w:color w:val="auto"/>
          <w:sz w:val="24"/>
          <w:highlight w:val="none"/>
          <w:lang w:val="en-US" w:eastAsia="zh-CN"/>
        </w:rPr>
        <w:t xml:space="preserve">江苏省</w:t>
      </w:r>
      <w:r>
        <w:rPr>
          <w:rFonts w:hint="eastAsia" w:ascii="宋体" w:hAnsi="宋体" w:eastAsia="宋体" w:cs="宋体"/>
          <w:color w:val="auto"/>
          <w:sz w:val="24"/>
          <w:highlight w:val="none"/>
        </w:rPr>
        <w:t xml:space="preserve">政府采购平台”上公告</w:t>
      </w:r>
      <w:r>
        <w:rPr>
          <w:rFonts w:hint="eastAsia" w:ascii="宋体" w:hAnsi="宋体" w:eastAsia="宋体" w:cs="宋体"/>
          <w:color w:val="auto"/>
          <w:sz w:val="24"/>
          <w:highlight w:val="none"/>
          <w:lang w:eastAsia="zh-CN"/>
        </w:rPr>
        <w:t xml:space="preserve">。</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1.2 磋商文件、成交供应商的响应文件及磋商采购过程中有关澄清、承诺文件均应作为合同附件。</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1.3 </w:t>
      </w:r>
      <w:r>
        <w:rPr>
          <w:rFonts w:hint="eastAsia" w:ascii="宋体" w:hAnsi="宋体" w:eastAsia="宋体" w:cs="宋体"/>
          <w:b/>
          <w:color w:val="auto"/>
          <w:sz w:val="24"/>
        </w:rPr>
        <w:t xml:space="preserve">签订合同后，成交供应商不得将成交产品或服务进行转包。</w:t>
      </w:r>
      <w:r>
        <w:rPr>
          <w:rFonts w:hint="eastAsia" w:ascii="宋体" w:hAnsi="宋体" w:eastAsia="宋体" w:cs="宋体"/>
          <w:color w:val="auto"/>
          <w:sz w:val="24"/>
        </w:rPr>
        <w:t xml:space="preserve">未经采购人同意，成交供应商也不得采用分包的形式履行合同，否则采购人有权终止合同。转包或分包造成采购人损失的，成交供应商应承担相应赔偿责任。</w:t>
      </w:r>
      <w:r/>
    </w:p>
    <w:p>
      <w:pPr>
        <w:pStyle w:val="745"/>
        <w:ind w:firstLine="480"/>
        <w:jc w:val="both"/>
        <w:keepLines/>
        <w:keepNext/>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2、标的物的追加</w:t>
      </w:r>
      <w:r/>
    </w:p>
    <w:p>
      <w:pPr>
        <w:pStyle w:val="745"/>
        <w:ind w:firstLine="480"/>
        <w:jc w:val="both"/>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w:t>
      </w:r>
      <w:bookmarkEnd w:id="187"/>
      <w:r/>
      <w:bookmarkEnd w:id="188"/>
      <w:r/>
      <w:bookmarkEnd w:id="189"/>
      <w:r/>
      <w:r/>
    </w:p>
    <w:p>
      <w:pPr>
        <w:pStyle w:val="745"/>
        <w:ind w:left="0" w:righ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3.1承包人是否提供履约担保：本项目收取履约保证金，金额为合同金额的</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p>
    <w:p>
      <w:pPr>
        <w:pStyle w:val="74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（1）履约保证金提交形式：中标人应当以汇款（履约保证金必须从企业的法人基本存款账户缴纳）、支票、汇票、本票或者金融机构、担保机构出具的保函等非现金形式在成交通知书发出7日内签订合同前提交。</w:t>
      </w:r>
      <w:r/>
    </w:p>
    <w:p>
      <w:pPr>
        <w:pStyle w:val="74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（2）履约保证金退还时间：履约保证金自合同生效之日起至合同约定的中标人主要义务履行完毕止十个工作日之内，采购人以非现金形式一次性退还履约保证金。</w:t>
      </w:r>
      <w:r/>
    </w:p>
    <w:p>
      <w:pPr>
        <w:pStyle w:val="74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（3）履约保证金退还方式：按照供应商缴纳方式退还。</w:t>
      </w:r>
      <w:r/>
    </w:p>
    <w:p>
      <w:pPr>
        <w:pStyle w:val="74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（4）中标人违约的，采购人将按照合同约定扣除其全部或部分履约保证金。如中标人违约给采购人造成的损失超过履约保证金的，应当依法赔偿超过部分的损失。</w:t>
      </w:r>
      <w:r/>
    </w:p>
    <w:p>
      <w:pPr>
        <w:pStyle w:val="745"/>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（5）逾期退还履约保证金的采购人承担违约责任，按照中国人民银行同期贷款基准利率支付超期资金占用费。</w:t>
      </w:r>
      <w:r/>
    </w:p>
    <w:p>
      <w:pPr>
        <w:pStyle w:val="745"/>
        <w:ind w:lef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3.2 履约保证金不予以退还的情形：签订合同后被发现存在出借（挂靠）资质的行为，愿意无条件接受被取消中标资格、履约保证金不予以退还、合同解除、清除出场，一切损失自行承担；</w:t>
      </w:r>
      <w:r>
        <w:rPr>
          <w:rFonts w:hint="eastAsia" w:ascii="宋体" w:hAnsi="宋体" w:eastAsia="宋体" w:cs="宋体"/>
          <w:b/>
          <w:bCs/>
          <w:color w:val="auto"/>
          <w:sz w:val="24"/>
          <w:highlight w:val="none"/>
          <w:lang w:eastAsia="zh-CN"/>
        </w:rPr>
        <w:t xml:space="preserve"> </w:t>
      </w:r>
      <w:r/>
    </w:p>
    <w:p>
      <w:pPr>
        <w:pStyle w:val="735"/>
        <w:ind w:firstLine="482"/>
        <w:jc w:val="left"/>
        <w:spacing w:before="0" w:after="0" w:line="360" w:lineRule="auto"/>
        <w:rPr>
          <w:rFonts w:hint="eastAsia" w:ascii="宋体" w:hAnsi="宋体" w:eastAsia="宋体" w:cs="宋体"/>
          <w:color w:val="auto"/>
          <w:sz w:val="24"/>
          <w:szCs w:val="24"/>
          <w:highlight w:val="none"/>
        </w:rPr>
      </w:pPr>
      <w:r/>
      <w:bookmarkStart w:id="190" w:name="_Toc10405"/>
      <w:r/>
      <w:bookmarkStart w:id="191" w:name="_Toc4324"/>
      <w:r/>
      <w:bookmarkStart w:id="192" w:name="_Toc25408"/>
      <w:r>
        <w:rPr>
          <w:rFonts w:hint="eastAsia" w:ascii="宋体" w:hAnsi="宋体" w:eastAsia="宋体" w:cs="宋体"/>
          <w:color w:val="auto"/>
          <w:sz w:val="24"/>
          <w:szCs w:val="24"/>
          <w:highlight w:val="none"/>
        </w:rPr>
        <w:t xml:space="preserve">九、政策功能</w:t>
      </w:r>
      <w:bookmarkEnd w:id="190"/>
      <w:r/>
      <w:bookmarkEnd w:id="191"/>
      <w:r/>
      <w:bookmarkEnd w:id="192"/>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1、支持中小企业发展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1.2供应商为残疾人福利性单位的，符合财库〔2017〕141号文件规定条件的残疾人福利性单位视同小型、微型企业，提供《残疾人福利性单位声明函》。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2、支持绿色发展</w:t>
      </w:r>
      <w:r/>
    </w:p>
    <w:p>
      <w:pPr>
        <w:ind w:firstLine="480"/>
        <w:spacing w:line="360" w:lineRule="auto"/>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2"/>
        <w:spacing w:line="360" w:lineRule="auto"/>
        <w:tabs>
          <w:tab w:val="left" w:pos="900" w:leader="none"/>
        </w:tabs>
        <w:rPr>
          <w:rFonts w:hint="eastAsia" w:ascii="宋体" w:hAnsi="宋体" w:eastAsia="宋体" w:cs="宋体"/>
          <w:b/>
          <w:bCs/>
          <w:color w:val="auto"/>
          <w:sz w:val="24"/>
        </w:rPr>
        <w:outlineLvl w:val="1"/>
      </w:pPr>
      <w:r/>
      <w:bookmarkStart w:id="193" w:name="_Toc20518"/>
      <w:r/>
      <w:bookmarkStart w:id="194" w:name="_Toc8868"/>
      <w:r/>
      <w:bookmarkStart w:id="195" w:name="_Toc17057"/>
      <w:r>
        <w:rPr>
          <w:rFonts w:hint="eastAsia" w:ascii="宋体" w:hAnsi="宋体" w:eastAsia="宋体" w:cs="宋体"/>
          <w:b/>
          <w:bCs/>
          <w:color w:val="auto"/>
          <w:sz w:val="24"/>
        </w:rPr>
        <w:t xml:space="preserve">十、质疑和投诉</w:t>
      </w:r>
      <w:bookmarkEnd w:id="193"/>
      <w:r/>
      <w:bookmarkEnd w:id="194"/>
      <w:r/>
      <w:bookmarkEnd w:id="195"/>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1、质疑的提出</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1.1 提出质疑的供应商应当是参与所质疑项目采购活动的供应商。</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color w:val="auto"/>
          <w:sz w:val="24"/>
        </w:rPr>
        <w:t xml:space="preserve">未依照采购磋商公告要求获取磋商文件的供应商，视为未参与该项目的采购活动，不具备对该磋商文件提出质疑的法定权利。</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1.3 </w:t>
      </w:r>
      <w:r>
        <w:rPr>
          <w:rFonts w:hint="eastAsia" w:ascii="宋体" w:hAnsi="宋体" w:eastAsia="宋体" w:cs="宋体"/>
          <w:b/>
          <w:color w:val="auto"/>
          <w:sz w:val="24"/>
        </w:rPr>
        <w:t xml:space="preserve">质疑函的接收方式为供应商书面原件提交。</w:t>
      </w:r>
      <w:r>
        <w:rPr>
          <w:rFonts w:hint="eastAsia" w:ascii="宋体" w:hAnsi="宋体" w:eastAsia="宋体" w:cs="宋体"/>
          <w:color w:val="auto"/>
          <w:sz w:val="24"/>
        </w:rPr>
        <w:t xml:space="preserve">联系部门、联系电话和通讯地址详见本磋商文件“竞争性磋商采购公告”。质疑实行实名制，不得进行虚假、恶意质疑。</w:t>
      </w:r>
      <w:r/>
    </w:p>
    <w:p>
      <w:pPr>
        <w:ind w:left="479"/>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1.4 质疑函应当使用范本（详见江苏政府采购网—监管信息—意见反馈）。供应商提出质疑应当</w:t>
      </w:r>
      <w:r>
        <w:rPr>
          <w:rFonts w:hint="eastAsia" w:ascii="宋体" w:hAnsi="宋体" w:eastAsia="宋体" w:cs="宋体"/>
          <w:b/>
          <w:color w:val="auto"/>
          <w:sz w:val="24"/>
        </w:rPr>
        <w:t xml:space="preserve">提交质疑函和必要的证明材料</w:t>
      </w:r>
      <w:r>
        <w:rPr>
          <w:rFonts w:hint="eastAsia" w:ascii="宋体" w:hAnsi="宋体" w:eastAsia="宋体" w:cs="宋体"/>
          <w:color w:val="auto"/>
          <w:sz w:val="24"/>
        </w:rPr>
        <w:t xml:space="preserve">。应当包括下列内容：</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（1）供应商的姓名或者名称、地址、邮编、联系人及联系电话；</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（2）质疑项目的名称、编号；</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（3）具体、明确的质疑事项和与质疑事项相关的请求；</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（4）事实依据；</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（5）必要的法律依据；</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（6）提出质疑的日期；</w:t>
      </w:r>
      <w:r/>
    </w:p>
    <w:p>
      <w:pPr>
        <w:ind w:firstLine="480"/>
        <w:spacing w:line="360" w:lineRule="auto"/>
        <w:tabs>
          <w:tab w:val="left" w:pos="900" w:leader="none"/>
        </w:tabs>
        <w:rPr>
          <w:rFonts w:hint="eastAsia" w:ascii="宋体" w:hAnsi="宋体" w:eastAsia="宋体" w:cs="宋体"/>
          <w:b/>
          <w:color w:val="auto"/>
          <w:sz w:val="24"/>
        </w:rPr>
      </w:pPr>
      <w:r>
        <w:rPr>
          <w:rFonts w:hint="eastAsia" w:ascii="宋体" w:hAnsi="宋体" w:eastAsia="宋体" w:cs="宋体"/>
          <w:color w:val="auto"/>
          <w:sz w:val="24"/>
        </w:rPr>
        <w:t xml:space="preserve">（7）</w:t>
      </w:r>
      <w:r>
        <w:rPr>
          <w:rFonts w:hint="eastAsia" w:ascii="宋体" w:hAnsi="宋体" w:eastAsia="宋体" w:cs="宋体"/>
          <w:b/>
          <w:color w:val="auto"/>
          <w:sz w:val="24"/>
        </w:rPr>
        <w:t xml:space="preserve">必要的证明材料；</w:t>
      </w:r>
      <w:r/>
    </w:p>
    <w:p>
      <w:pPr>
        <w:pStyle w:val="745"/>
        <w:ind w:left="0" w:right="0" w:firstLine="480"/>
        <w:keepLines w:val="0"/>
        <w:keepNext w:val="0"/>
        <w:spacing w:before="0" w:beforeAutospacing="0" w:after="0" w:afterAutospacing="0" w:line="360" w:lineRule="auto"/>
        <w:widowControl w:val="off"/>
        <w:rPr>
          <w:rFonts w:hint="eastAsia" w:ascii="宋体" w:hAnsi="宋体" w:eastAsia="宋体" w:cs="宋体"/>
          <w:b/>
          <w:color w:val="auto"/>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（8）采购文件(交易文件)下载回执函； </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）营业执照复印件及法定代表人授权委托书、法定代表人身份证复印件、委托代理人身份证复印件。</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供应商为自然人的，应当由本人签字；供应商为法人或者其他组织的，应当由法定代表人、主要负责人，或者其委托代理人签字或者盖章，并加盖单位公章。</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2、质疑函的受理和答复</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4"/>
        </w:rPr>
        <w:t xml:space="preserve">对不能提供必要的证明材料的、涉及商业秘密的、非书面原件形式的、匿名的质疑函将不予受理</w:t>
      </w:r>
      <w:r>
        <w:rPr>
          <w:rFonts w:hint="eastAsia" w:ascii="宋体" w:hAnsi="宋体" w:eastAsia="宋体" w:cs="宋体"/>
          <w:color w:val="auto"/>
          <w:sz w:val="24"/>
        </w:rPr>
        <w:t xml:space="preserve">。必要的证明材料要具备客观性、关联性、合法性，无法查实的（如宣传册、媒体报道、猜测、推理等）不能作为证明材料。采购人、代理机构不负责搜集必要的证明材料等工作。</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2.3 对不符合质疑要求的，采购人、代理机构有权要求其补充必要的证明材料，质疑供应商未在法定的时间内提供补充必要的证明材料的，视同放弃质疑。</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3、质疑处理</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3.1 质疑供应商不按照法定程序进行质疑投诉的，视为一般失信行为。</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3.2 质疑供应商不配合或者采用不正当手段干扰采购质疑、投诉处理工作的，视为一般失信行为。</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3.3 质疑供应商投诉受理期间，就同一事项多头举报，干扰财政部门投诉处理的，视为一般失信行为。</w:t>
      </w:r>
      <w:r/>
    </w:p>
    <w:p>
      <w:pPr>
        <w:ind w:firstLine="480"/>
        <w:spacing w:line="360" w:lineRule="auto"/>
        <w:tabs>
          <w:tab w:val="left" w:pos="900" w:leader="none"/>
        </w:tabs>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3.4 质疑供应商在全国范围12个月内三次以上质疑查无实据的，视为一般失信行为。</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tabs>
          <w:tab w:val="left" w:pos="900" w:leader="none"/>
        </w:tabs>
        <w:rPr>
          <w:rFonts w:hint="eastAsia" w:ascii="宋体" w:hAnsi="宋体" w:eastAsia="宋体" w:cs="宋体"/>
          <w:color w:val="auto"/>
          <w:sz w:val="24"/>
        </w:rPr>
      </w:pPr>
      <w:r>
        <w:rPr>
          <w:rFonts w:hint="eastAsia" w:ascii="宋体" w:hAnsi="宋体" w:eastAsia="宋体" w:cs="宋体"/>
          <w:color w:val="auto"/>
          <w:sz w:val="24"/>
        </w:rPr>
        <w:t xml:space="preserve">3.6未尽事宜，依照有关法律、法规执行。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4、投诉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投诉事项依照有关法律、法规执行。</w:t>
      </w:r>
      <w:r/>
    </w:p>
    <w:p>
      <w:pPr>
        <w:pStyle w:val="749"/>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pStyle w:val="749"/>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pStyle w:val="749"/>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pStyle w:val="749"/>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pStyle w:val="765"/>
        <w:rPr>
          <w:rFonts w:hint="eastAsia" w:ascii="宋体" w:hAnsi="宋体" w:eastAsia="宋体" w:cs="宋体"/>
          <w:color w:val="auto"/>
          <w:sz w:val="24"/>
        </w:rPr>
      </w:pPr>
      <w:r>
        <w:rPr>
          <w:rFonts w:hint="eastAsia" w:ascii="宋体" w:hAnsi="宋体" w:eastAsia="宋体" w:cs="宋体"/>
          <w:color w:val="auto"/>
          <w:sz w:val="24"/>
        </w:rPr>
      </w:r>
      <w:r/>
    </w:p>
    <w:p>
      <w:pPr>
        <w:rPr>
          <w:rFonts w:hint="eastAsia"/>
          <w:color w:val="auto"/>
        </w:rPr>
      </w:pPr>
      <w:r>
        <w:rPr>
          <w:rFonts w:hint="eastAsia"/>
          <w:color w:val="auto"/>
        </w:rPr>
      </w:r>
      <w:r/>
    </w:p>
    <w:p>
      <w:pPr>
        <w:rPr>
          <w:rFonts w:hint="eastAsia"/>
          <w:color w:val="auto"/>
        </w:rPr>
      </w:pPr>
      <w:r>
        <w:rPr>
          <w:rFonts w:hint="eastAsia"/>
          <w:color w:val="auto"/>
        </w:rPr>
      </w:r>
      <w:r/>
    </w:p>
    <w:p>
      <w:pPr>
        <w:pStyle w:val="701"/>
        <w:jc w:val="center"/>
        <w:rPr>
          <w:rStyle w:val="933"/>
          <w:rFonts w:hint="eastAsia" w:ascii="宋体" w:hAnsi="宋体" w:eastAsia="宋体" w:cs="宋体"/>
          <w:b/>
          <w:bCs/>
          <w:color w:val="auto"/>
          <w:sz w:val="40"/>
          <w:szCs w:val="40"/>
        </w:rPr>
      </w:pPr>
      <w:r/>
      <w:bookmarkStart w:id="196" w:name="_Toc12693"/>
      <w:r/>
      <w:bookmarkStart w:id="197" w:name="_Toc465856614"/>
      <w:r/>
      <w:bookmarkStart w:id="198" w:name="_Toc29722"/>
      <w:r>
        <w:rPr>
          <w:rStyle w:val="933"/>
          <w:rFonts w:hint="eastAsia" w:ascii="宋体" w:hAnsi="宋体" w:eastAsia="宋体" w:cs="宋体"/>
          <w:b/>
          <w:bCs/>
          <w:color w:val="auto"/>
          <w:sz w:val="40"/>
          <w:szCs w:val="40"/>
        </w:rPr>
        <w:t xml:space="preserve">第三章 合同条款及格式</w:t>
      </w:r>
      <w:bookmarkStart w:id="199" w:name="_Hlt16619369"/>
      <w:r/>
      <w:bookmarkEnd w:id="199"/>
      <w:r/>
      <w:r/>
    </w:p>
    <w:p>
      <w:pPr>
        <w:pStyle w:val="719"/>
        <w:rPr>
          <w:rFonts w:hint="eastAsia"/>
          <w:color w:val="auto"/>
        </w:rPr>
      </w:pPr>
      <w:r>
        <w:rPr>
          <w:rFonts w:hint="eastAsia"/>
          <w:color w:val="auto"/>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t xml:space="preserve">连 云 港 市 政 府 采 购</w:t>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883"/>
        <w:jc w:val="center"/>
        <w:spacing w:line="360" w:lineRule="auto"/>
        <w:rPr>
          <w:rFonts w:hint="eastAsia" w:ascii="宋体" w:hAnsi="宋体" w:eastAsia="宋体" w:cs="宋体"/>
          <w:b/>
          <w:bCs/>
          <w:color w:val="auto"/>
          <w:sz w:val="44"/>
          <w:u w:val="single"/>
        </w:rPr>
      </w:pPr>
      <w:r>
        <w:rPr>
          <w:rFonts w:hint="eastAsia" w:ascii="宋体" w:hAnsi="宋体" w:eastAsia="宋体" w:cs="宋体"/>
          <w:b/>
          <w:bCs/>
          <w:color w:val="auto"/>
          <w:sz w:val="44"/>
          <w:u w:val="single"/>
        </w:rPr>
      </w:r>
      <w:r/>
    </w:p>
    <w:p>
      <w:pPr>
        <w:ind w:firstLine="883"/>
        <w:jc w:val="center"/>
        <w:spacing w:line="360" w:lineRule="auto"/>
        <w:rPr>
          <w:rFonts w:hint="eastAsia" w:ascii="宋体" w:hAnsi="宋体" w:eastAsia="宋体" w:cs="宋体"/>
          <w:b/>
          <w:bCs/>
          <w:color w:val="auto"/>
          <w:sz w:val="44"/>
        </w:rPr>
        <w:outlineLvl w:val="1"/>
      </w:pPr>
      <w:r>
        <w:rPr>
          <w:rFonts w:hint="eastAsia" w:ascii="宋体" w:hAnsi="宋体" w:eastAsia="宋体" w:cs="宋体"/>
          <w:b/>
          <w:bCs/>
          <w:color w:val="auto"/>
          <w:sz w:val="44"/>
          <w:u w:val="single"/>
        </w:rPr>
        <w:t xml:space="preserve">                    </w:t>
      </w:r>
      <w:bookmarkStart w:id="200" w:name="_Toc12412"/>
      <w:r/>
      <w:bookmarkStart w:id="201" w:name="_Toc24213"/>
      <w:r/>
      <w:bookmarkStart w:id="202" w:name="_Toc30913"/>
      <w:r>
        <w:rPr>
          <w:rFonts w:hint="eastAsia" w:ascii="宋体" w:hAnsi="宋体" w:eastAsia="宋体" w:cs="宋体"/>
          <w:b/>
          <w:bCs/>
          <w:color w:val="auto"/>
          <w:sz w:val="44"/>
        </w:rPr>
        <w:t xml:space="preserve">合同</w:t>
      </w:r>
      <w:bookmarkEnd w:id="200"/>
      <w:r/>
      <w:bookmarkEnd w:id="201"/>
      <w:r/>
      <w:bookmarkEnd w:id="202"/>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ind w:firstLine="1966"/>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合同编号：</w:t>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发包人</w:t>
      </w:r>
      <w:r>
        <w:rPr>
          <w:rFonts w:hint="eastAsia" w:ascii="宋体" w:hAnsi="宋体" w:eastAsia="宋体" w:cs="宋体"/>
          <w:b/>
          <w:bCs/>
          <w:color w:val="auto"/>
          <w:sz w:val="44"/>
        </w:rPr>
        <w:t xml:space="preserve">：</w:t>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承包人</w:t>
      </w:r>
      <w:r>
        <w:rPr>
          <w:rFonts w:hint="eastAsia" w:ascii="宋体" w:hAnsi="宋体" w:eastAsia="宋体" w:cs="宋体"/>
          <w:b/>
          <w:bCs/>
          <w:color w:val="auto"/>
          <w:sz w:val="44"/>
        </w:rPr>
        <w:t xml:space="preserve">：</w:t>
      </w:r>
      <w:r/>
    </w:p>
    <w:p>
      <w:pPr>
        <w:pStyle w:val="719"/>
        <w:rPr>
          <w:rFonts w:hint="eastAsia" w:ascii="宋体" w:hAnsi="宋体" w:eastAsia="宋体" w:cs="宋体"/>
          <w:b/>
          <w:bCs/>
          <w:color w:val="auto"/>
          <w:sz w:val="44"/>
        </w:rPr>
      </w:pPr>
      <w:r>
        <w:rPr>
          <w:rFonts w:hint="eastAsia" w:ascii="宋体" w:hAnsi="宋体" w:eastAsia="宋体" w:cs="宋体"/>
          <w:b/>
          <w:bCs/>
          <w:color w:val="auto"/>
          <w:sz w:val="44"/>
        </w:rPr>
      </w:r>
      <w:r/>
    </w:p>
    <w:p>
      <w:pPr>
        <w:pStyle w:val="719"/>
        <w:rPr>
          <w:rFonts w:hint="eastAsia" w:ascii="宋体" w:hAnsi="宋体" w:eastAsia="宋体" w:cs="宋体"/>
          <w:b/>
          <w:bCs/>
          <w:color w:val="auto"/>
          <w:sz w:val="44"/>
        </w:rPr>
      </w:pPr>
      <w:r>
        <w:rPr>
          <w:rFonts w:hint="eastAsia" w:ascii="宋体" w:hAnsi="宋体" w:eastAsia="宋体" w:cs="宋体"/>
          <w:b/>
          <w:bCs/>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eastAsia="宋体" w:cs="宋体"/>
          <w:b/>
          <w:bCs/>
          <w:color w:val="auto"/>
          <w:sz w:val="44"/>
        </w:rPr>
      </w:r>
      <w:r/>
    </w:p>
    <w:p>
      <w:pPr>
        <w:pStyle w:val="719"/>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连云港市政府采购合同</w:t>
      </w:r>
      <w:r/>
    </w:p>
    <w:p>
      <w:pPr>
        <w:pStyle w:val="719"/>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480"/>
        <w:jc w:val="center"/>
        <w:spacing w:line="360" w:lineRule="auto"/>
        <w:rPr>
          <w:rFonts w:hint="eastAsia" w:ascii="宋体" w:hAnsi="宋体" w:eastAsia="宋体" w:cs="宋体"/>
          <w:b/>
          <w:bCs/>
          <w:color w:val="auto"/>
          <w:sz w:val="24"/>
        </w:rPr>
        <w:outlineLvl w:val="1"/>
      </w:pPr>
      <w:r/>
      <w:bookmarkStart w:id="203" w:name="_Toc25380"/>
      <w:r/>
      <w:bookmarkStart w:id="204" w:name="_Toc12576"/>
      <w:r/>
      <w:bookmarkStart w:id="205" w:name="_Toc30496"/>
      <w:r>
        <w:rPr>
          <w:rFonts w:hint="eastAsia" w:ascii="宋体" w:hAnsi="宋体" w:eastAsia="宋体" w:cs="宋体"/>
          <w:b/>
          <w:bCs/>
          <w:color w:val="auto"/>
          <w:sz w:val="24"/>
        </w:rPr>
        <w:t xml:space="preserve">第一部分  协议书格式</w:t>
      </w:r>
      <w:bookmarkEnd w:id="203"/>
      <w:r/>
      <w:bookmarkEnd w:id="204"/>
      <w:r/>
      <w:bookmarkEnd w:id="205"/>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（简称甲方）</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（简称乙方）</w:t>
      </w:r>
      <w:r/>
    </w:p>
    <w:p>
      <w:pPr>
        <w:pStyle w:val="738"/>
        <w:ind w:firstLine="480"/>
        <w:spacing w:line="360" w:lineRule="auto"/>
        <w:rPr>
          <w:rFonts w:hint="default" w:ascii="宋体" w:hAnsi="宋体" w:eastAsia="宋体" w:cs="宋体"/>
          <w:bCs/>
          <w:color w:val="auto"/>
          <w:u w:val="single"/>
          <w:lang w:val="en-US" w:eastAsia="zh-CN"/>
        </w:rPr>
      </w:pPr>
      <w:r>
        <w:rPr>
          <w:rFonts w:hint="eastAsia" w:ascii="宋体" w:eastAsia="宋体" w:cs="宋体"/>
          <w:bCs/>
          <w:color w:val="auto"/>
          <w:lang w:val="en-US" w:eastAsia="zh-CN"/>
        </w:rPr>
        <w:t xml:space="preserve">见证方：</w:t>
      </w:r>
      <w:r>
        <w:rPr>
          <w:rFonts w:hint="eastAsia" w:ascii="宋体" w:eastAsia="宋体" w:cs="宋体"/>
          <w:bCs/>
          <w:color w:val="auto"/>
          <w:u w:val="single"/>
          <w:lang w:val="en-US" w:eastAsia="zh-CN"/>
        </w:rPr>
        <w:t xml:space="preserve">                              </w:t>
      </w:r>
      <w:r/>
    </w:p>
    <w:p>
      <w:pPr>
        <w:pStyle w:val="738"/>
        <w:ind w:firstLine="480"/>
        <w:spacing w:line="360" w:lineRule="auto"/>
        <w:rPr>
          <w:rFonts w:hint="eastAsia" w:ascii="宋体" w:hAnsi="宋体" w:eastAsia="宋体" w:cs="宋体"/>
          <w:b/>
          <w:bCs/>
          <w:color w:val="auto"/>
        </w:rPr>
      </w:pPr>
      <w:r>
        <w:rPr>
          <w:rFonts w:hint="eastAsia" w:ascii="宋体" w:hAnsi="宋体" w:eastAsia="宋体" w:cs="宋体"/>
          <w:bCs/>
          <w:color w:val="auto"/>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738"/>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一、工程概况</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工程名称：</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工程地点：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资金来源：</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工程内容：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38"/>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二、合同工期</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计划开工日期：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日（具体开工日期以发包人开工通知书为准）；</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计划竣工日期：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日之前完成；</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合同工期总日历天数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天（合同确定工期以自报工期为准）。</w:t>
      </w:r>
      <w:r/>
    </w:p>
    <w:p>
      <w:pPr>
        <w:pStyle w:val="738"/>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三、质量标准</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工程质量标准：</w:t>
      </w:r>
      <w:r>
        <w:rPr>
          <w:rFonts w:hint="eastAsia" w:ascii="宋体" w:hAnsi="宋体" w:eastAsia="宋体" w:cs="宋体"/>
          <w:bCs/>
          <w:color w:val="auto"/>
          <w:u w:val="single"/>
        </w:rPr>
        <w:t xml:space="preserve">合格</w:t>
      </w:r>
      <w:r>
        <w:rPr>
          <w:rFonts w:hint="eastAsia" w:ascii="宋体" w:hAnsi="宋体" w:eastAsia="宋体" w:cs="宋体"/>
          <w:bCs/>
          <w:color w:val="auto"/>
        </w:rPr>
        <w:t xml:space="preserve">。质量标准的评定以国家或行业的现行质量检验评定标准为依据。</w:t>
      </w:r>
      <w:r/>
    </w:p>
    <w:p>
      <w:pPr>
        <w:pStyle w:val="738"/>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四、合同价款和形式</w:t>
      </w:r>
      <w:r/>
    </w:p>
    <w:p>
      <w:pPr>
        <w:pStyle w:val="738"/>
        <w:ind w:firstLine="480"/>
        <w:spacing w:line="360" w:lineRule="auto"/>
        <w:rPr>
          <w:rFonts w:hint="eastAsia" w:ascii="宋体" w:hAnsi="宋体" w:eastAsia="宋体" w:cs="宋体"/>
          <w:bCs/>
          <w:color w:val="auto"/>
          <w:u w:val="single"/>
        </w:rPr>
      </w:pPr>
      <w:r>
        <w:rPr>
          <w:rFonts w:hint="eastAsia" w:ascii="宋体" w:hAnsi="宋体" w:eastAsia="宋体" w:cs="宋体"/>
          <w:bCs/>
          <w:color w:val="auto"/>
        </w:rPr>
        <w:t xml:space="preserve">1、合同价款为：人民币（大写）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其中：（1）安全文明施工费：</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38"/>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材料和工程设备暂估价：</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38"/>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专业工程暂估价：</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38"/>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暂估金额：</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合同价款包括：</w:t>
      </w:r>
      <w:r>
        <w:rPr>
          <w:rFonts w:hint="eastAsia" w:ascii="宋体" w:hAnsi="宋体" w:eastAsia="宋体" w:cs="宋体"/>
          <w:color w:val="auto"/>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pStyle w:val="738"/>
        <w:numPr>
          <w:ilvl w:val="0"/>
          <w:numId w:val="5"/>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合同价格形式：</w:t>
      </w:r>
      <w:r>
        <w:rPr>
          <w:rFonts w:hint="eastAsia" w:ascii="宋体" w:hAnsi="宋体" w:eastAsia="宋体" w:cs="宋体"/>
          <w:bCs/>
          <w:color w:val="auto"/>
          <w:u w:val="single"/>
        </w:rPr>
        <w:t xml:space="preserve">固定单价</w:t>
      </w:r>
      <w:r>
        <w:rPr>
          <w:rFonts w:hint="eastAsia" w:ascii="宋体" w:hAnsi="宋体" w:eastAsia="宋体" w:cs="宋体"/>
          <w:bCs/>
          <w:color w:val="auto"/>
        </w:rPr>
        <w:t xml:space="preserve">。</w:t>
      </w:r>
      <w:r/>
    </w:p>
    <w:p>
      <w:pPr>
        <w:pStyle w:val="738"/>
        <w:ind w:firstLine="482"/>
        <w:spacing w:line="360" w:lineRule="auto"/>
        <w:rPr>
          <w:rFonts w:hint="eastAsia" w:ascii="宋体" w:hAnsi="宋体" w:eastAsia="宋体" w:cs="宋体"/>
          <w:b/>
          <w:bCs/>
          <w:color w:val="auto"/>
        </w:rPr>
      </w:pPr>
      <w:r/>
      <w:bookmarkStart w:id="206" w:name="_Toc351203485"/>
      <w:r>
        <w:rPr>
          <w:rFonts w:hint="eastAsia" w:ascii="宋体" w:hAnsi="宋体" w:eastAsia="宋体" w:cs="宋体"/>
          <w:b/>
          <w:bCs/>
          <w:color w:val="auto"/>
        </w:rPr>
        <w:t xml:space="preserve">五、</w:t>
      </w:r>
      <w:bookmarkEnd w:id="206"/>
      <w:r>
        <w:rPr>
          <w:rFonts w:hint="eastAsia" w:ascii="宋体" w:hAnsi="宋体" w:eastAsia="宋体" w:cs="宋体"/>
          <w:b/>
          <w:bCs/>
          <w:color w:val="auto"/>
        </w:rPr>
        <w:t xml:space="preserve">项目经理</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承包人拟派项目经理：</w:t>
      </w:r>
      <w:r/>
    </w:p>
    <w:p>
      <w:pPr>
        <w:pStyle w:val="738"/>
        <w:ind w:firstLine="480"/>
        <w:spacing w:line="360" w:lineRule="auto"/>
        <w:rPr>
          <w:rFonts w:hint="eastAsia" w:ascii="宋体" w:hAnsi="宋体" w:eastAsia="宋体" w:cs="宋体"/>
          <w:bCs/>
          <w:i/>
          <w:iCs/>
          <w:color w:val="auto"/>
          <w:lang w:eastAsia="zh-CN"/>
        </w:rPr>
      </w:pPr>
      <w:r>
        <w:rPr>
          <w:rFonts w:hint="eastAsia" w:ascii="宋体" w:hAnsi="宋体" w:eastAsia="宋体" w:cs="宋体"/>
          <w:bCs/>
          <w:color w:val="auto"/>
        </w:rPr>
        <w:t xml:space="preserve">姓名</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i w:val="0"/>
          <w:iCs w:val="0"/>
          <w:color w:val="auto"/>
          <w:lang w:eastAsia="zh-CN"/>
        </w:rPr>
        <w:t xml:space="preserve">；</w:t>
      </w:r>
      <w:r/>
    </w:p>
    <w:p>
      <w:pPr>
        <w:pStyle w:val="738"/>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执业资格证书号：</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身份证号：</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联系方式</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rPr>
        <w:t xml:space="preserve">。</w:t>
      </w:r>
      <w:r/>
    </w:p>
    <w:p>
      <w:pPr>
        <w:pStyle w:val="738"/>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六、组成合同的文件</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1、组成本合同的文件包括：</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（1）成交通知书；</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（2）投标函及其附录； </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（3）专用合同条款及其附件；</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（4）通用合同条款；</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（5）技术标准和要求；</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（6）图纸；</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（7）已标价工程量清单或预算书；</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（8）其他合同文件；</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2、双方有关工程的洽商、变更等书面协议或文件视为本合同的组成部分。</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七、</w:t>
      </w:r>
      <w:r>
        <w:rPr>
          <w:rFonts w:hint="eastAsia" w:ascii="宋体" w:hAnsi="宋体" w:eastAsia="宋体" w:cs="宋体"/>
          <w:color w:val="auto"/>
          <w:sz w:val="24"/>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八、</w:t>
      </w:r>
      <w:r>
        <w:rPr>
          <w:rFonts w:hint="eastAsia" w:ascii="宋体" w:hAnsi="宋体" w:eastAsia="宋体" w:cs="宋体"/>
          <w:color w:val="auto"/>
          <w:sz w:val="24"/>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九、</w:t>
      </w:r>
      <w:r>
        <w:rPr>
          <w:rFonts w:hint="eastAsia" w:ascii="宋体" w:hAnsi="宋体" w:eastAsia="宋体" w:cs="宋体"/>
          <w:color w:val="auto"/>
          <w:sz w:val="24"/>
        </w:rPr>
        <w:t xml:space="preserve">发包人向承包人承诺按照合同约定的期限和方式支付合同价款及其他应当支付的款项。</w:t>
      </w:r>
      <w:r/>
    </w:p>
    <w:p>
      <w:pPr>
        <w:pStyle w:val="738"/>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十、合同生效及其他</w:t>
      </w:r>
      <w:r/>
    </w:p>
    <w:p>
      <w:pPr>
        <w:pStyle w:val="738"/>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合同订立时间：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38"/>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合同订立地点：</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38"/>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本合同双方约定经法定代表人或授权委托人签字并加盖公章后生效；</w:t>
      </w:r>
      <w:r/>
    </w:p>
    <w:p>
      <w:pPr>
        <w:pStyle w:val="725"/>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本合同未尽事宜，遵照《中华人民共和国民法典》《中华人民共和国建筑法》有关条文执行；</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color w:val="auto"/>
          <w:sz w:val="24"/>
          <w:szCs w:val="24"/>
        </w:rPr>
        <w:t xml:space="preserve">本合本合同正本一式</w:t>
      </w:r>
      <w:r>
        <w:rPr>
          <w:rFonts w:hint="eastAsia" w:ascii="宋体" w:hAnsi="宋体" w:eastAsia="宋体" w:cs="宋体"/>
          <w:color w:val="auto"/>
          <w:sz w:val="24"/>
          <w:szCs w:val="24"/>
          <w:u w:val="single"/>
        </w:rPr>
        <w:t xml:space="preserve"> 六 </w:t>
      </w:r>
      <w:r>
        <w:rPr>
          <w:rFonts w:hint="eastAsia" w:ascii="宋体" w:hAnsi="宋体" w:eastAsia="宋体" w:cs="宋体"/>
          <w:color w:val="auto"/>
          <w:sz w:val="24"/>
          <w:szCs w:val="24"/>
        </w:rPr>
        <w:t xml:space="preserve">份，甲乙双方各执</w:t>
      </w:r>
      <w:r>
        <w:rPr>
          <w:rFonts w:hint="eastAsia" w:ascii="宋体" w:hAnsi="宋体" w:eastAsia="宋体" w:cs="宋体"/>
          <w:color w:val="auto"/>
          <w:sz w:val="24"/>
          <w:szCs w:val="24"/>
          <w:u w:val="single"/>
        </w:rPr>
        <w:t xml:space="preserve"> 二 </w:t>
      </w:r>
      <w:r>
        <w:rPr>
          <w:rFonts w:hint="eastAsia" w:ascii="宋体" w:hAnsi="宋体" w:eastAsia="宋体" w:cs="宋体"/>
          <w:color w:val="auto"/>
          <w:sz w:val="24"/>
          <w:szCs w:val="24"/>
        </w:rPr>
        <w:t xml:space="preserve">份、财政监管部门及见证方各执</w:t>
      </w:r>
      <w:r>
        <w:rPr>
          <w:rFonts w:hint="eastAsia" w:ascii="宋体" w:hAnsi="宋体" w:eastAsia="宋体" w:cs="宋体"/>
          <w:color w:val="auto"/>
          <w:sz w:val="24"/>
          <w:szCs w:val="24"/>
          <w:u w:val="single"/>
        </w:rPr>
        <w:t xml:space="preserve"> 一 份</w:t>
      </w:r>
      <w:r>
        <w:rPr>
          <w:rFonts w:hint="eastAsia" w:ascii="宋体" w:hAnsi="宋体" w:eastAsia="宋体" w:cs="宋体"/>
          <w:color w:val="auto"/>
          <w:sz w:val="24"/>
          <w:szCs w:val="24"/>
        </w:rPr>
        <w:t xml:space="preserve">，具有同等法律效力。</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发包人：（公章）                承包人：（公章）                  </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地址：                          地址：                          </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                    法定代表人：                    </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委托代表人：                    委托代表人：                     </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电   话：                       电   话：                                </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开户银行：                      开户银行：                       </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账 号：                         账  号：          </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default" w:ascii="宋体" w:hAnsi="宋体" w:eastAsia="宋体" w:cs="宋体"/>
          <w:bCs/>
          <w:color w:val="auto"/>
          <w:lang w:val="en-US" w:eastAsia="zh-CN"/>
        </w:rPr>
      </w:pPr>
      <w:r>
        <w:rPr>
          <w:rFonts w:hint="eastAsia" w:ascii="宋体" w:hAnsi="宋体" w:eastAsia="宋体" w:cs="宋体"/>
          <w:bCs/>
          <w:color w:val="auto"/>
        </w:rPr>
        <w:t xml:space="preserve">见 证 方：</w:t>
      </w:r>
      <w:r/>
    </w:p>
    <w:p>
      <w:pPr>
        <w:pStyle w:val="738"/>
        <w:ind w:firstLine="480"/>
        <w:spacing w:line="360" w:lineRule="auto"/>
        <w:rPr>
          <w:rFonts w:hint="default" w:ascii="宋体" w:hAnsi="宋体" w:eastAsia="宋体" w:cs="宋体"/>
          <w:bCs/>
          <w:color w:val="auto"/>
          <w:lang w:val="en-US" w:eastAsia="zh-CN"/>
        </w:rPr>
      </w:pPr>
      <w:r>
        <w:rPr>
          <w:rFonts w:hint="eastAsia" w:ascii="宋体" w:eastAsia="宋体" w:cs="宋体"/>
          <w:bCs/>
          <w:color w:val="auto"/>
          <w:lang w:val="en-US" w:eastAsia="zh-CN"/>
        </w:rPr>
        <w:t xml:space="preserve">见证日期：    </w:t>
      </w:r>
      <w:r>
        <w:rPr>
          <w:rFonts w:hint="eastAsia" w:ascii="宋体" w:hAnsi="宋体" w:eastAsia="宋体" w:cs="宋体"/>
          <w:color w:val="auto"/>
          <w:sz w:val="24"/>
          <w:szCs w:val="24"/>
        </w:rPr>
        <w:t xml:space="preserve">年   月   日</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02"/>
        <w:spacing w:line="360" w:lineRule="auto"/>
        <w:rPr>
          <w:rFonts w:hint="eastAsia" w:ascii="宋体" w:hAnsi="宋体" w:eastAsia="宋体" w:cs="宋体"/>
          <w:color w:val="auto"/>
          <w:sz w:val="24"/>
          <w:szCs w:val="24"/>
        </w:rPr>
      </w:pPr>
      <w:r/>
      <w:bookmarkStart w:id="207" w:name="_Toc7506"/>
      <w:r/>
      <w:bookmarkStart w:id="208" w:name="_Toc515874989"/>
      <w:r/>
      <w:bookmarkStart w:id="209" w:name="_Toc498006745"/>
      <w:r/>
      <w:bookmarkStart w:id="210" w:name="_Toc6026"/>
      <w:r/>
      <w:bookmarkStart w:id="211" w:name="_Toc17825"/>
      <w:r>
        <w:rPr>
          <w:rFonts w:hint="eastAsia" w:ascii="宋体" w:hAnsi="宋体" w:eastAsia="宋体" w:cs="宋体"/>
          <w:color w:val="auto"/>
          <w:sz w:val="24"/>
          <w:szCs w:val="24"/>
        </w:rPr>
        <w:t xml:space="preserve">第二部分  通用合同条款</w:t>
      </w:r>
      <w:bookmarkEnd w:id="207"/>
      <w:r/>
      <w:bookmarkEnd w:id="208"/>
      <w:r/>
      <w:bookmarkEnd w:id="209"/>
      <w:r/>
      <w:bookmarkEnd w:id="210"/>
      <w:r/>
      <w:bookmarkEnd w:id="21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r>
      <w:r/>
    </w:p>
    <w:p>
      <w:pPr>
        <w:pStyle w:val="702"/>
        <w:spacing w:line="360" w:lineRule="auto"/>
        <w:rPr>
          <w:rFonts w:hint="eastAsia" w:ascii="宋体" w:hAnsi="宋体" w:eastAsia="宋体" w:cs="宋体"/>
          <w:color w:val="auto"/>
          <w:sz w:val="24"/>
          <w:szCs w:val="24"/>
        </w:rPr>
      </w:pPr>
      <w:r/>
      <w:bookmarkStart w:id="212" w:name="_Toc515874990"/>
      <w:r/>
      <w:bookmarkStart w:id="213" w:name="_Toc498006746"/>
      <w:r>
        <w:rPr>
          <w:rFonts w:hint="eastAsia" w:ascii="宋体" w:hAnsi="宋体" w:eastAsia="宋体" w:cs="宋体"/>
          <w:color w:val="auto"/>
          <w:sz w:val="24"/>
          <w:szCs w:val="24"/>
        </w:rPr>
        <w:br w:type="page" w:clear="all"/>
      </w:r>
      <w:bookmarkStart w:id="214" w:name="_Toc27953"/>
      <w:r/>
      <w:bookmarkStart w:id="215" w:name="_Toc27227"/>
      <w:r/>
      <w:bookmarkStart w:id="216" w:name="_Toc1602"/>
      <w:r>
        <w:rPr>
          <w:rFonts w:hint="eastAsia" w:ascii="宋体" w:hAnsi="宋体" w:eastAsia="宋体" w:cs="宋体"/>
          <w:color w:val="auto"/>
          <w:sz w:val="24"/>
          <w:szCs w:val="24"/>
        </w:rPr>
        <w:t xml:space="preserve">第三部分  专用合同条款</w:t>
      </w:r>
      <w:bookmarkEnd w:id="212"/>
      <w:r/>
      <w:bookmarkEnd w:id="213"/>
      <w:r/>
      <w:bookmarkEnd w:id="214"/>
      <w:r/>
      <w:bookmarkEnd w:id="215"/>
      <w:r/>
      <w:bookmarkEnd w:id="216"/>
      <w:r/>
      <w:r/>
    </w:p>
    <w:p>
      <w:pPr>
        <w:pStyle w:val="703"/>
        <w:ind w:firstLine="482"/>
        <w:spacing w:before="0" w:after="0" w:line="360" w:lineRule="auto"/>
        <w:rPr>
          <w:rFonts w:hint="eastAsia" w:ascii="宋体" w:hAnsi="宋体" w:eastAsia="宋体" w:cs="宋体"/>
          <w:color w:val="auto"/>
          <w:sz w:val="24"/>
          <w:szCs w:val="24"/>
        </w:rPr>
      </w:pPr>
      <w:r/>
      <w:bookmarkStart w:id="217" w:name="_Toc351203633"/>
      <w:r>
        <w:rPr>
          <w:rFonts w:hint="eastAsia" w:ascii="宋体" w:hAnsi="宋体" w:eastAsia="宋体" w:cs="宋体"/>
          <w:color w:val="auto"/>
          <w:sz w:val="24"/>
          <w:szCs w:val="24"/>
        </w:rPr>
        <w:t xml:space="preserve">1</w:t>
      </w:r>
      <w:bookmarkStart w:id="218" w:name="_Toc292559866"/>
      <w:r/>
      <w:bookmarkStart w:id="219" w:name="_Toc296890984"/>
      <w:r/>
      <w:bookmarkStart w:id="220" w:name="_Toc292559361"/>
      <w:r/>
      <w:bookmarkStart w:id="221" w:name="_Toc297120456"/>
      <w:r/>
      <w:bookmarkStart w:id="222" w:name="_Toc296944495"/>
      <w:r/>
      <w:bookmarkStart w:id="223" w:name="_Toc296346657"/>
      <w:r/>
      <w:bookmarkStart w:id="224" w:name="_Toc296347155"/>
      <w:r/>
      <w:bookmarkStart w:id="225" w:name="_Toc296503156"/>
      <w:r/>
      <w:bookmarkStart w:id="226" w:name="_Toc296891196"/>
      <w:r/>
      <w:bookmarkStart w:id="227" w:name="_Toc297048342"/>
      <w:r>
        <w:rPr>
          <w:rFonts w:hint="eastAsia" w:ascii="宋体" w:hAnsi="宋体" w:eastAsia="宋体" w:cs="宋体"/>
          <w:color w:val="auto"/>
          <w:sz w:val="24"/>
          <w:szCs w:val="24"/>
        </w:rPr>
        <w:t xml:space="preserve">、一般约定</w:t>
      </w:r>
      <w:bookmarkEnd w:id="217"/>
      <w:r/>
      <w:bookmarkEnd w:id="218"/>
      <w:r/>
      <w:bookmarkEnd w:id="219"/>
      <w:r/>
      <w:bookmarkEnd w:id="220"/>
      <w:r/>
      <w:bookmarkEnd w:id="221"/>
      <w:r/>
      <w:bookmarkEnd w:id="222"/>
      <w:r/>
      <w:bookmarkEnd w:id="223"/>
      <w:r/>
      <w:bookmarkEnd w:id="224"/>
      <w:r/>
      <w:bookmarkEnd w:id="225"/>
      <w:r/>
      <w:bookmarkEnd w:id="226"/>
      <w:r/>
      <w:bookmarkEnd w:id="22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词语定义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1.1.1.1其他合同文件包括：</w:t>
      </w:r>
      <w:r>
        <w:rPr>
          <w:rFonts w:hint="eastAsia" w:ascii="宋体" w:hAnsi="宋体" w:eastAsia="宋体" w:cs="宋体"/>
          <w:color w:val="auto"/>
          <w:sz w:val="24"/>
          <w:u w:val="single"/>
        </w:rPr>
        <w:t xml:space="preserve">合同履行中，发包人、承包人有关工程的洽商、变更等书面协议或文件视为本合同的组成部分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 合同当事人及其他相关方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1.1.2.4监理人：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1.1.2.5 设计人：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工程和设备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1.1.3.1 作为施工现场组成部分的其他场所包括：</w:t>
      </w:r>
      <w:r>
        <w:rPr>
          <w:rFonts w:hint="eastAsia" w:ascii="宋体" w:hAnsi="宋体" w:eastAsia="宋体" w:cs="宋体"/>
          <w:color w:val="auto"/>
          <w:sz w:val="24"/>
          <w:u w:val="single"/>
        </w:rPr>
        <w:t xml:space="preserve"> 临时设施及永久占地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1.1.3.2 永久占地包括：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1.1.3.3 临时占地包括：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1.3法律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适用于合同的其他规范性文件：</w:t>
      </w:r>
      <w:r>
        <w:rPr>
          <w:rFonts w:hint="eastAsia" w:ascii="宋体" w:hAnsi="宋体" w:eastAsia="宋体" w:cs="宋体"/>
          <w:color w:val="auto"/>
          <w:sz w:val="24"/>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 标准和规范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1.4.1适用于工程的标准规范包括：</w:t>
      </w:r>
      <w:r>
        <w:rPr>
          <w:rFonts w:hint="eastAsia" w:ascii="宋体" w:hAnsi="宋体" w:eastAsia="宋体" w:cs="宋体"/>
          <w:color w:val="auto"/>
          <w:sz w:val="24"/>
          <w:u w:val="single"/>
        </w:rPr>
        <w:t xml:space="preserve">详见竞争性磋商文件。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发包人提供国外标准、规范的名称：</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发包人提供国外标准、规范的份数：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发包人提供国外标准、规范的名称：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1.4.3发包人对工程的技术标准和功能要求的特殊要求：</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 合同文件组成及优先顺序为：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 合同协议书；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(2) 成交通知书；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(3) 响应文件及其附件；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(4) 专用合同条款及其附件；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(5) 通用合同条款；</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(6) 竞争性磋商文件及澄清；</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(7) 标准、规范及有关技术文件；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(8) 图纸；</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(9) 工程量清单及编制说明；</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(10) 工程量报价表（预算书）；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 其他合同文件。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 图纸和承包人文件</w:t>
      </w:r>
      <w:r>
        <w:rPr>
          <w:rFonts w:hint="eastAsia" w:ascii="宋体" w:hAnsi="宋体" w:eastAsia="宋体" w:cs="宋体"/>
          <w:color w:val="auto"/>
          <w:sz w:val="24"/>
        </w:rPr>
        <w:tab/>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图纸的提供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发包人向承包人提供图纸的期限：</w:t>
      </w:r>
      <w:r>
        <w:rPr>
          <w:rFonts w:hint="eastAsia" w:ascii="宋体" w:hAnsi="宋体" w:eastAsia="宋体" w:cs="宋体"/>
          <w:color w:val="auto"/>
          <w:sz w:val="24"/>
          <w:u w:val="single"/>
        </w:rPr>
        <w:t xml:space="preserve">由承包人按实际施工情况提供工程照片及竣工图，</w:t>
      </w:r>
      <w:r>
        <w:rPr>
          <w:rFonts w:hint="eastAsia" w:ascii="宋体" w:hAnsi="宋体" w:eastAsia="宋体" w:cs="宋体"/>
          <w:color w:val="auto"/>
          <w:sz w:val="24"/>
        </w:rPr>
        <w:t xml:space="preserve">经发包人及总监确认后，作为竣工结算依据。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发包人对图纸的保密要求：</w:t>
      </w:r>
      <w:r>
        <w:rPr>
          <w:rFonts w:hint="eastAsia" w:ascii="宋体" w:hAnsi="宋体" w:eastAsia="宋体" w:cs="宋体"/>
          <w:color w:val="auto"/>
          <w:sz w:val="24"/>
          <w:u w:val="single"/>
        </w:rPr>
        <w:t xml:space="preserve">未经发包人同意不得复制，不得向承包人以外的人员泄露图纸的有关内容</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发包人向承包人提供图纸的数量：</w:t>
      </w:r>
      <w:r>
        <w:rPr>
          <w:rFonts w:hint="eastAsia" w:ascii="宋体" w:hAnsi="宋体" w:eastAsia="宋体" w:cs="宋体"/>
          <w:color w:val="auto"/>
          <w:sz w:val="24"/>
          <w:u w:val="single"/>
        </w:rPr>
        <w:t xml:space="preserve">肆套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发包人向承包人提供图纸的内容：</w:t>
      </w:r>
      <w:r>
        <w:rPr>
          <w:rFonts w:hint="eastAsia" w:ascii="宋体" w:hAnsi="宋体" w:eastAsia="宋体" w:cs="宋体"/>
          <w:color w:val="auto"/>
          <w:sz w:val="24"/>
          <w:u w:val="single"/>
        </w:rPr>
        <w:t xml:space="preserve">施工图纸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需要由承包人提供的文件，包括：</w:t>
      </w:r>
      <w:r>
        <w:rPr>
          <w:rFonts w:hint="eastAsia" w:ascii="宋体" w:hAnsi="宋体" w:eastAsia="宋体" w:cs="宋体"/>
          <w:color w:val="auto"/>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承包人提供的文件的期限为：</w:t>
      </w:r>
      <w:r>
        <w:rPr>
          <w:rFonts w:hint="eastAsia" w:ascii="宋体" w:hAnsi="宋体" w:eastAsia="宋体" w:cs="宋体"/>
          <w:color w:val="auto"/>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承包人提供的文件的数量为：</w:t>
      </w:r>
      <w:r>
        <w:rPr>
          <w:rFonts w:hint="eastAsia" w:ascii="宋体" w:hAnsi="宋体" w:eastAsia="宋体" w:cs="宋体"/>
          <w:color w:val="auto"/>
          <w:sz w:val="24"/>
          <w:u w:val="single"/>
        </w:rPr>
        <w:t xml:space="preserve">叁套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承包人提供的文件的形式为：</w:t>
      </w:r>
      <w:r>
        <w:rPr>
          <w:rFonts w:hint="eastAsia" w:ascii="宋体" w:hAnsi="宋体" w:eastAsia="宋体" w:cs="宋体"/>
          <w:color w:val="auto"/>
          <w:sz w:val="24"/>
          <w:u w:val="single"/>
        </w:rPr>
        <w:t xml:space="preserve">书面文件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发包人审批承包人文件的期限：</w:t>
      </w:r>
      <w:r>
        <w:rPr>
          <w:rFonts w:hint="eastAsia" w:ascii="宋体" w:hAnsi="宋体" w:eastAsia="宋体" w:cs="宋体"/>
          <w:color w:val="auto"/>
          <w:sz w:val="24"/>
          <w:u w:val="single"/>
        </w:rPr>
        <w:t xml:space="preserve">收到书面文件后7日内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1.6.3 现场图纸准备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关于现场图纸准备的约定：</w:t>
      </w:r>
      <w:r>
        <w:rPr>
          <w:rFonts w:hint="eastAsia" w:ascii="宋体" w:hAnsi="宋体" w:eastAsia="宋体" w:cs="宋体"/>
          <w:color w:val="auto"/>
          <w:sz w:val="24"/>
          <w:u w:val="single"/>
        </w:rPr>
        <w:t xml:space="preserve">承包人应在施工现场保留一套完整图纸，供工程师及有关人员进行工程检查时使用</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 联络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1.7.1发包人和承包人应当在</w:t>
      </w:r>
      <w:r>
        <w:rPr>
          <w:rFonts w:hint="eastAsia" w:ascii="宋体" w:hAnsi="宋体" w:eastAsia="宋体" w:cs="宋体"/>
          <w:color w:val="auto"/>
          <w:sz w:val="24"/>
          <w:u w:val="single"/>
        </w:rPr>
        <w:t xml:space="preserve"> 3 </w:t>
      </w:r>
      <w:r>
        <w:rPr>
          <w:rFonts w:hint="eastAsia" w:ascii="宋体" w:hAnsi="宋体" w:eastAsia="宋体" w:cs="宋体"/>
          <w:color w:val="auto"/>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 发包人接收文件的地点：</w:t>
      </w:r>
      <w:r>
        <w:rPr>
          <w:rFonts w:hint="eastAsia" w:ascii="宋体" w:hAnsi="宋体" w:eastAsia="宋体" w:cs="宋体"/>
          <w:color w:val="auto"/>
          <w:sz w:val="24"/>
          <w:u w:val="single"/>
        </w:rPr>
        <w:t xml:space="preserve">工地业主办公室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承包人接收文件的地点：</w:t>
      </w:r>
      <w:r>
        <w:rPr>
          <w:rFonts w:hint="eastAsia" w:ascii="宋体" w:hAnsi="宋体" w:eastAsia="宋体" w:cs="宋体"/>
          <w:color w:val="auto"/>
          <w:sz w:val="24"/>
          <w:u w:val="single"/>
        </w:rPr>
        <w:t xml:space="preserve">工地承包人项目部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监理人接收文件的地点：</w:t>
      </w:r>
      <w:r>
        <w:rPr>
          <w:rFonts w:hint="eastAsia" w:ascii="宋体" w:hAnsi="宋体" w:eastAsia="宋体" w:cs="宋体"/>
          <w:color w:val="auto"/>
          <w:sz w:val="24"/>
          <w:u w:val="single"/>
        </w:rPr>
        <w:t xml:space="preserve">工地监理部办公室</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 交通运输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228" w:name="_Toc303539100"/>
      <w:r/>
      <w:bookmarkStart w:id="229" w:name="_Toc304295521"/>
      <w:r/>
      <w:bookmarkStart w:id="230" w:name="_Toc318581155"/>
      <w:r/>
      <w:bookmarkStart w:id="231" w:name="_Toc300934943"/>
      <w:r/>
      <w:bookmarkStart w:id="232" w:name="_Toc312677986"/>
      <w:r>
        <w:rPr>
          <w:rFonts w:hint="eastAsia" w:ascii="宋体" w:hAnsi="宋体" w:eastAsia="宋体" w:cs="宋体"/>
          <w:color w:val="auto"/>
          <w:sz w:val="24"/>
        </w:rPr>
        <w:t xml:space="preserve">.8.1 出入现场的权利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关于出入现场的权利的约定：</w:t>
      </w:r>
      <w:r>
        <w:rPr>
          <w:rFonts w:hint="eastAsia" w:ascii="宋体" w:hAnsi="宋体" w:eastAsia="宋体" w:cs="宋体"/>
          <w:color w:val="auto"/>
          <w:sz w:val="24"/>
          <w:u w:val="single"/>
        </w:rPr>
        <w:t xml:space="preserve">由承包人统一管理 </w:t>
      </w:r>
      <w:r>
        <w:rPr>
          <w:rFonts w:hint="eastAsia" w:ascii="宋体" w:hAnsi="宋体" w:eastAsia="宋体" w:cs="宋体"/>
          <w:color w:val="auto"/>
          <w:sz w:val="24"/>
        </w:rPr>
        <w:t xml:space="preserve">。</w:t>
      </w:r>
      <w:bookmarkEnd w:id="228"/>
      <w:r/>
      <w:bookmarkEnd w:id="229"/>
      <w:r/>
      <w:bookmarkEnd w:id="230"/>
      <w:r/>
      <w:bookmarkEnd w:id="231"/>
      <w:r/>
      <w:bookmarkEnd w:id="23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233" w:name="_Toc318581156"/>
      <w:r/>
      <w:bookmarkStart w:id="234" w:name="_Toc300934944"/>
      <w:r/>
      <w:bookmarkStart w:id="235" w:name="_Toc312677987"/>
      <w:r/>
      <w:bookmarkStart w:id="236" w:name="_Toc304295522"/>
      <w:r/>
      <w:bookmarkStart w:id="237" w:name="_Toc303539101"/>
      <w:r>
        <w:rPr>
          <w:rFonts w:hint="eastAsia" w:ascii="宋体" w:hAnsi="宋体" w:eastAsia="宋体" w:cs="宋体"/>
          <w:color w:val="auto"/>
          <w:sz w:val="24"/>
        </w:rPr>
        <w:t xml:space="preserve">.8.2 场内交通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关于场外交通和场内交通的边界的约定：</w:t>
      </w:r>
      <w:r>
        <w:rPr>
          <w:rFonts w:hint="eastAsia" w:ascii="宋体" w:hAnsi="宋体" w:eastAsia="宋体" w:cs="宋体"/>
          <w:color w:val="auto"/>
          <w:sz w:val="24"/>
          <w:u w:val="single"/>
        </w:rPr>
        <w:t xml:space="preserve">无</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关于发包人向承包人免费提供满足工程施工需要的场内道路和交通设施的约定：</w:t>
      </w:r>
      <w:r>
        <w:rPr>
          <w:rFonts w:hint="eastAsia" w:ascii="宋体" w:hAnsi="宋体" w:eastAsia="宋体" w:cs="宋体"/>
          <w:color w:val="auto"/>
          <w:sz w:val="24"/>
          <w:u w:val="single"/>
        </w:rPr>
        <w:t xml:space="preserve">现状 </w:t>
      </w:r>
      <w:r>
        <w:rPr>
          <w:rFonts w:hint="eastAsia" w:ascii="宋体" w:hAnsi="宋体" w:eastAsia="宋体" w:cs="宋体"/>
          <w:color w:val="auto"/>
          <w:sz w:val="24"/>
        </w:rPr>
        <w:t xml:space="preserve">。</w:t>
      </w:r>
      <w:bookmarkEnd w:id="233"/>
      <w:r/>
      <w:bookmarkEnd w:id="234"/>
      <w:r/>
      <w:bookmarkEnd w:id="235"/>
      <w:r/>
      <w:bookmarkEnd w:id="236"/>
      <w:r/>
      <w:bookmarkEnd w:id="237"/>
      <w:r>
        <w:rPr>
          <w:rFonts w:hint="eastAsia" w:ascii="宋体" w:hAnsi="宋体" w:eastAsia="宋体" w:cs="宋体"/>
          <w:color w:val="auto"/>
          <w:sz w:val="24"/>
        </w:rPr>
        <w:t xml:space="preserve">  </w:t>
      </w:r>
      <w:bookmarkStart w:id="238" w:name="_Toc31858115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1.8.3超大件和超重件的运输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运输超大件或超重件所需的道路和桥梁临时加固改造费用和其他有关费用由</w:t>
      </w:r>
      <w:r>
        <w:rPr>
          <w:rFonts w:hint="eastAsia" w:ascii="宋体" w:hAnsi="宋体" w:eastAsia="宋体" w:cs="宋体"/>
          <w:color w:val="auto"/>
          <w:sz w:val="24"/>
          <w:u w:val="single"/>
        </w:rPr>
        <w:t xml:space="preserve"> 承包人 </w:t>
      </w:r>
      <w:r>
        <w:rPr>
          <w:rFonts w:hint="eastAsia" w:ascii="宋体" w:hAnsi="宋体" w:eastAsia="宋体" w:cs="宋体"/>
          <w:color w:val="auto"/>
          <w:sz w:val="24"/>
        </w:rPr>
        <w:t xml:space="preserve">承担。</w:t>
      </w:r>
      <w:bookmarkEnd w:id="23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 知识产权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u w:val="single"/>
        </w:rPr>
        <w:t xml:space="preserve">发包人</w:t>
      </w:r>
      <w:r>
        <w:rPr>
          <w:rFonts w:hint="eastAsia" w:ascii="宋体" w:hAnsi="宋体" w:eastAsia="宋体" w:cs="宋体"/>
          <w:color w:val="auto"/>
          <w:sz w:val="24"/>
        </w:rPr>
        <w:t xml:space="preserve">。关于发包人提供的上述文件的使用限制的要求： </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 关于承包人为实施工程所编制文件的著作权的归属：</w:t>
      </w:r>
      <w:r>
        <w:rPr>
          <w:rFonts w:hint="eastAsia" w:ascii="宋体" w:hAnsi="宋体" w:eastAsia="宋体" w:cs="宋体"/>
          <w:color w:val="auto"/>
          <w:sz w:val="24"/>
          <w:u w:val="single"/>
        </w:rPr>
        <w:t xml:space="preserve"> 发包人</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关于承包人提供的上述文件的使用限制的要求：</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1.9.3 承包人在施工过程中所采用的专利、专有技术、技术秘密的使用费的承担方式：</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r/>
    </w:p>
    <w:p>
      <w:pPr>
        <w:pStyle w:val="703"/>
        <w:ind w:firstLine="482"/>
        <w:spacing w:before="0" w:after="0" w:line="360" w:lineRule="auto"/>
        <w:rPr>
          <w:rFonts w:hint="eastAsia" w:ascii="宋体" w:hAnsi="宋体" w:eastAsia="宋体" w:cs="宋体"/>
          <w:color w:val="auto"/>
          <w:sz w:val="24"/>
          <w:szCs w:val="24"/>
        </w:rPr>
      </w:pPr>
      <w:r/>
      <w:bookmarkStart w:id="239" w:name="_Toc351203634"/>
      <w:r>
        <w:rPr>
          <w:rFonts w:hint="eastAsia" w:ascii="宋体" w:hAnsi="宋体" w:eastAsia="宋体" w:cs="宋体"/>
          <w:color w:val="auto"/>
          <w:sz w:val="24"/>
          <w:szCs w:val="24"/>
        </w:rPr>
        <w:t xml:space="preserve">2</w:t>
      </w:r>
      <w:bookmarkStart w:id="240" w:name="_Toc296503157"/>
      <w:r/>
      <w:bookmarkStart w:id="241" w:name="_Toc296891197"/>
      <w:r/>
      <w:bookmarkStart w:id="242" w:name="_Toc296890985"/>
      <w:r/>
      <w:bookmarkStart w:id="243" w:name="_Toc296346658"/>
      <w:r/>
      <w:bookmarkStart w:id="244" w:name="_Toc292559867"/>
      <w:r/>
      <w:bookmarkStart w:id="245" w:name="_Toc296944496"/>
      <w:r/>
      <w:bookmarkStart w:id="246" w:name="_Toc296347156"/>
      <w:r/>
      <w:bookmarkStart w:id="247" w:name="_Toc297120457"/>
      <w:r/>
      <w:bookmarkStart w:id="248" w:name="_Toc297048343"/>
      <w:r/>
      <w:bookmarkStart w:id="249" w:name="_Toc292559362"/>
      <w:r>
        <w:rPr>
          <w:rFonts w:hint="eastAsia" w:ascii="宋体" w:hAnsi="宋体" w:eastAsia="宋体" w:cs="宋体"/>
          <w:color w:val="auto"/>
          <w:sz w:val="24"/>
          <w:szCs w:val="24"/>
        </w:rPr>
        <w:t xml:space="preserve">、发包人</w:t>
      </w:r>
      <w:bookmarkEnd w:id="239"/>
      <w:r/>
      <w:bookmarkEnd w:id="240"/>
      <w:r/>
      <w:bookmarkEnd w:id="241"/>
      <w:r/>
      <w:bookmarkEnd w:id="242"/>
      <w:r/>
      <w:bookmarkEnd w:id="243"/>
      <w:r/>
      <w:bookmarkEnd w:id="244"/>
      <w:r/>
      <w:bookmarkEnd w:id="245"/>
      <w:r/>
      <w:bookmarkEnd w:id="246"/>
      <w:r/>
      <w:bookmarkEnd w:id="247"/>
      <w:r/>
      <w:bookmarkEnd w:id="248"/>
      <w:r/>
      <w:bookmarkEnd w:id="24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发包人对发包人代表的授权范围如下：</w:t>
      </w:r>
      <w:r>
        <w:rPr>
          <w:rFonts w:hint="eastAsia" w:ascii="宋体" w:hAnsi="宋体" w:eastAsia="宋体" w:cs="宋体"/>
          <w:color w:val="auto"/>
          <w:sz w:val="24"/>
          <w:u w:val="single"/>
        </w:rPr>
        <w:t xml:space="preserve">负责本工程项目的管理、协调、控制，保证</w:t>
      </w:r>
      <w:r>
        <w:rPr>
          <w:rFonts w:hint="eastAsia" w:ascii="宋体" w:hAnsi="宋体" w:eastAsia="宋体" w:cs="宋体"/>
          <w:color w:val="auto"/>
          <w:sz w:val="24"/>
        </w:rPr>
        <w:t xml:space="preserve">合同的全面落实，施工中有关情况的上报，业主指令的下达，相关问题的处理。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施工现场、施工条件和基础资料的提供：（发包人应按约定的时间和要求完成以下工作）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2.2.1 提供施工现场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关于发包人移交施工现场的期限要求：</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2.2.2 提供施工条件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关于发包人应负责提供施工所需要的条件，包括：</w:t>
      </w:r>
      <w:r>
        <w:rPr>
          <w:rFonts w:hint="eastAsia" w:ascii="宋体" w:hAnsi="宋体" w:eastAsia="宋体" w:cs="宋体"/>
          <w:color w:val="auto"/>
          <w:sz w:val="24"/>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⑴施工场地具备施工条件的要求及完成的时间：</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⑵将施工所需的水、电、电讯线路接至施工场地的时间地点和供应要求：</w:t>
      </w:r>
      <w:r>
        <w:rPr>
          <w:rFonts w:hint="eastAsia" w:ascii="宋体" w:hAnsi="宋体" w:eastAsia="宋体" w:cs="宋体"/>
          <w:color w:val="auto"/>
          <w:sz w:val="24"/>
          <w:u w:val="single"/>
        </w:rPr>
        <w:t xml:space="preserve">由承包人考察现场自行解决，负责安装水电的计量表具，水电费用自理。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⑶施工场地与公共道路的通道开通时间和要求：</w:t>
      </w:r>
      <w:r>
        <w:rPr>
          <w:rFonts w:hint="eastAsia" w:ascii="宋体" w:hAnsi="宋体" w:eastAsia="宋体" w:cs="宋体"/>
          <w:color w:val="auto"/>
          <w:sz w:val="24"/>
          <w:u w:val="single"/>
        </w:rPr>
        <w:t xml:space="preserve">已开通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⑷工程地质和地下管线资料的提供时间：</w:t>
      </w:r>
      <w:r>
        <w:rPr>
          <w:rFonts w:hint="eastAsia" w:ascii="宋体" w:hAnsi="宋体" w:eastAsia="宋体" w:cs="宋体"/>
          <w:color w:val="auto"/>
          <w:sz w:val="24"/>
          <w:u w:val="single"/>
        </w:rPr>
        <w:t xml:space="preserve">  承包人进场施工前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⑸由发包人办理的施工所需证件、批件的名称和完成时间：</w:t>
      </w:r>
      <w:r>
        <w:rPr>
          <w:rFonts w:hint="eastAsia" w:ascii="宋体" w:hAnsi="宋体" w:eastAsia="宋体" w:cs="宋体"/>
          <w:color w:val="auto"/>
          <w:sz w:val="24"/>
          <w:u w:val="single"/>
        </w:rPr>
        <w:t xml:space="preserve">开工前办妥相关开工手续</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⑹水准点、座标控制点交验要求：</w:t>
      </w:r>
      <w:r>
        <w:rPr>
          <w:rFonts w:hint="eastAsia" w:ascii="宋体" w:hAnsi="宋体" w:eastAsia="宋体" w:cs="宋体"/>
          <w:color w:val="auto"/>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⑺图纸会审和设计交底时间：</w:t>
      </w:r>
      <w:r>
        <w:rPr>
          <w:rFonts w:hint="eastAsia" w:ascii="宋体" w:hAnsi="宋体" w:eastAsia="宋体" w:cs="宋体"/>
          <w:color w:val="auto"/>
          <w:sz w:val="24"/>
          <w:u w:val="single"/>
        </w:rPr>
        <w:t xml:space="preserve">开工前一日</w:t>
      </w:r>
      <w:r>
        <w:rPr>
          <w:rFonts w:hint="eastAsia" w:ascii="宋体" w:hAnsi="宋体" w:eastAsia="宋体" w:cs="宋体"/>
          <w:color w:val="auto"/>
          <w:sz w:val="24"/>
        </w:rPr>
        <w:t xml:space="preserve">。</w:t>
      </w:r>
      <w:r/>
    </w:p>
    <w:p>
      <w:pPr>
        <w:pStyle w:val="980"/>
        <w:ind w:left="0" w:firstLine="480"/>
        <w:spacing w:line="360" w:lineRule="auto"/>
        <w:rPr>
          <w:rFonts w:hint="eastAsia" w:ascii="宋体" w:hAnsi="宋体" w:eastAsia="宋体" w:cs="宋体"/>
          <w:color w:val="auto"/>
          <w:spacing w:val="6"/>
          <w:sz w:val="24"/>
          <w:szCs w:val="24"/>
          <w:u w:val="single"/>
        </w:rPr>
      </w:pPr>
      <w:r>
        <w:rPr>
          <w:rFonts w:hint="eastAsia" w:ascii="宋体" w:hAnsi="宋体" w:eastAsia="宋体" w:cs="宋体"/>
          <w:color w:val="auto"/>
          <w:sz w:val="24"/>
          <w:szCs w:val="24"/>
        </w:rPr>
        <w:t xml:space="preserve">⑻协调处理施工现场周围地下管线和邻近建筑物、构筑物的保护工作：</w:t>
      </w:r>
      <w:r>
        <w:rPr>
          <w:rFonts w:hint="eastAsia" w:ascii="宋体" w:hAnsi="宋体" w:eastAsia="宋体" w:cs="宋体"/>
          <w:color w:val="auto"/>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⑼双方约定发包人应做的其他工作：</w:t>
      </w:r>
      <w:r>
        <w:rPr>
          <w:rFonts w:hint="eastAsia" w:ascii="宋体" w:hAnsi="宋体" w:eastAsia="宋体" w:cs="宋体"/>
          <w:color w:val="auto"/>
          <w:sz w:val="24"/>
          <w:u w:val="single"/>
        </w:rPr>
        <w:t xml:space="preserve">     无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（10）发包人委托承包人办理的工作：</w:t>
      </w:r>
      <w:r>
        <w:rPr>
          <w:rFonts w:hint="eastAsia" w:ascii="宋体" w:hAnsi="宋体" w:eastAsia="宋体" w:cs="宋体"/>
          <w:color w:val="auto"/>
          <w:sz w:val="24"/>
          <w:u w:val="single"/>
        </w:rPr>
        <w:t xml:space="preserve">双方视现场情况协商办理。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资金来源证明及支付担保：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发包人提供资金来源证明的期限要求：</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发包人是否提供支付担保：</w:t>
      </w:r>
      <w:r>
        <w:rPr>
          <w:rFonts w:hint="eastAsia" w:ascii="宋体" w:hAnsi="宋体" w:eastAsia="宋体" w:cs="宋体"/>
          <w:color w:val="auto"/>
          <w:sz w:val="24"/>
          <w:u w:val="single"/>
        </w:rPr>
        <w:t xml:space="preserve">不提供 </w:t>
      </w:r>
      <w:r>
        <w:rPr>
          <w:rFonts w:hint="eastAsia" w:ascii="宋体" w:hAnsi="宋体" w:eastAsia="宋体" w:cs="宋体"/>
          <w:color w:val="auto"/>
          <w:sz w:val="24"/>
        </w:rPr>
        <w:t xml:space="preserve">。</w:t>
      </w:r>
      <w:bookmarkStart w:id="250" w:name="_Toc318581164"/>
      <w:r/>
      <w:bookmarkStart w:id="251" w:name="_Toc303539106"/>
      <w:r/>
      <w:bookmarkStart w:id="252" w:name="_Toc300934949"/>
      <w:r/>
      <w:bookmarkStart w:id="253" w:name="_Toc297123496"/>
      <w:r/>
      <w:bookmarkStart w:id="254" w:name="_Toc312677997"/>
      <w:r/>
      <w:bookmarkStart w:id="255" w:name="_Toc297216155"/>
      <w:r/>
      <w:bookmarkStart w:id="256" w:name="_Toc304295527"/>
      <w:r/>
      <w:bookmarkStart w:id="257" w:name="_Toc296891203"/>
      <w:r/>
      <w:bookmarkStart w:id="258" w:name="_Toc292559367"/>
      <w:r/>
      <w:bookmarkStart w:id="259" w:name="_Toc292559872"/>
      <w:r/>
      <w:bookmarkStart w:id="260" w:name="_Toc297120463"/>
      <w:r/>
      <w:bookmarkStart w:id="261" w:name="_Toc296890991"/>
      <w:r/>
      <w:bookmarkStart w:id="262" w:name="_Toc296346664"/>
      <w:r/>
      <w:bookmarkStart w:id="263" w:name="_Toc296503163"/>
      <w:r/>
      <w:bookmarkStart w:id="264" w:name="_Toc296944502"/>
      <w:r/>
      <w:bookmarkStart w:id="265" w:name="_Toc296347162"/>
      <w:r/>
      <w:bookmarkStart w:id="266" w:name="_Toc297048349"/>
      <w:r/>
      <w:r/>
    </w:p>
    <w:p>
      <w:pPr>
        <w:pStyle w:val="703"/>
        <w:ind w:firstLine="482"/>
        <w:spacing w:before="0" w:after="0" w:line="360" w:lineRule="auto"/>
        <w:rPr>
          <w:rFonts w:hint="eastAsia" w:ascii="宋体" w:hAnsi="宋体" w:eastAsia="宋体" w:cs="宋体"/>
          <w:color w:val="auto"/>
          <w:sz w:val="24"/>
          <w:szCs w:val="24"/>
        </w:rPr>
      </w:pPr>
      <w:r/>
      <w:bookmarkStart w:id="267" w:name="_Toc351203635"/>
      <w:r/>
      <w:bookmarkStart w:id="268" w:name="_Toc351203638"/>
      <w:r>
        <w:rPr>
          <w:rFonts w:hint="eastAsia" w:ascii="宋体" w:hAnsi="宋体" w:eastAsia="宋体" w:cs="宋体"/>
          <w:color w:val="auto"/>
          <w:sz w:val="24"/>
          <w:szCs w:val="24"/>
        </w:rPr>
        <w:t xml:space="preserve">3</w:t>
      </w:r>
      <w:bookmarkStart w:id="269" w:name="_Toc292559868"/>
      <w:r/>
      <w:bookmarkStart w:id="270" w:name="_Toc296503158"/>
      <w:r/>
      <w:bookmarkStart w:id="271" w:name="_Toc297048344"/>
      <w:r/>
      <w:bookmarkStart w:id="272" w:name="_Toc296891198"/>
      <w:r/>
      <w:bookmarkStart w:id="273" w:name="_Toc296944497"/>
      <w:r/>
      <w:bookmarkStart w:id="274" w:name="_Toc297120458"/>
      <w:r/>
      <w:bookmarkStart w:id="275" w:name="_Toc292559363"/>
      <w:r/>
      <w:bookmarkStart w:id="276" w:name="_Toc296347157"/>
      <w:r/>
      <w:bookmarkStart w:id="277" w:name="_Toc296346659"/>
      <w:r/>
      <w:bookmarkStart w:id="278" w:name="_Toc296890986"/>
      <w:r>
        <w:rPr>
          <w:rFonts w:hint="eastAsia" w:ascii="宋体" w:hAnsi="宋体" w:eastAsia="宋体" w:cs="宋体"/>
          <w:color w:val="auto"/>
          <w:sz w:val="24"/>
          <w:szCs w:val="24"/>
        </w:rPr>
        <w:t xml:space="preserve">、承包人</w:t>
      </w:r>
      <w:bookmarkEnd w:id="267"/>
      <w:r/>
      <w:bookmarkEnd w:id="269"/>
      <w:r/>
      <w:bookmarkEnd w:id="270"/>
      <w:r/>
      <w:bookmarkEnd w:id="271"/>
      <w:r/>
      <w:bookmarkEnd w:id="272"/>
      <w:r/>
      <w:bookmarkEnd w:id="273"/>
      <w:r/>
      <w:bookmarkEnd w:id="274"/>
      <w:r/>
      <w:bookmarkEnd w:id="275"/>
      <w:r/>
      <w:bookmarkEnd w:id="276"/>
      <w:r/>
      <w:bookmarkEnd w:id="277"/>
      <w:r/>
      <w:bookmarkEnd w:id="27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承包人的一般义务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承包人应按约定的时间和要求完成以下工作：</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⑴需由设计资质等级和业务范围允许的承包人完成的设计文件提交时间：</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⑵应提供计划、报表的名称和完成时间：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⑶承担施工安全保卫工作及非夜间施工照明的责任和要求：</w:t>
      </w:r>
      <w:r>
        <w:rPr>
          <w:rFonts w:hint="eastAsia" w:ascii="宋体" w:hAnsi="宋体" w:eastAsia="宋体" w:cs="宋体"/>
          <w:color w:val="auto"/>
          <w:sz w:val="24"/>
          <w:u w:val="single"/>
        </w:rPr>
        <w:t xml:space="preserve">安全保卫工作由承包人负责实施，费用自理；非夜间照明由承包人负责，费用自理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pacing w:val="4"/>
          <w:sz w:val="24"/>
          <w:u w:val="single"/>
        </w:rPr>
      </w:pPr>
      <w:r>
        <w:rPr>
          <w:rFonts w:hint="eastAsia" w:ascii="宋体" w:hAnsi="宋体" w:eastAsia="宋体" w:cs="宋体"/>
          <w:color w:val="auto"/>
          <w:sz w:val="24"/>
        </w:rPr>
        <w:t xml:space="preserve">⑷向发包人提供的办公和生活房屋及设施的要求：</w:t>
      </w:r>
      <w:r>
        <w:rPr>
          <w:rFonts w:hint="eastAsia" w:ascii="宋体" w:hAnsi="宋体" w:eastAsia="宋体" w:cs="宋体"/>
          <w:color w:val="auto"/>
          <w:sz w:val="24"/>
          <w:u w:val="single"/>
        </w:rPr>
        <w:t xml:space="preserve">执行通用条款（根据现场情况定）。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⑸需承包人办理的有关施工场地交通、环卫和施工噪音管理等手续：</w:t>
      </w:r>
      <w:r>
        <w:rPr>
          <w:rFonts w:hint="eastAsia" w:ascii="宋体" w:hAnsi="宋体" w:eastAsia="宋体" w:cs="宋体"/>
          <w:color w:val="auto"/>
          <w:sz w:val="24"/>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⑹已完工程成品保护的特殊要求及费用承担：</w:t>
      </w:r>
      <w:r>
        <w:rPr>
          <w:rFonts w:hint="eastAsia" w:ascii="宋体" w:hAnsi="宋体" w:eastAsia="宋体" w:cs="宋体"/>
          <w:color w:val="auto"/>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⑺施工场地周围地下管线和邻近建筑物、构筑物（含文物保护建筑）、古树名木的保护要求及费用承担：</w:t>
      </w:r>
      <w:r>
        <w:rPr>
          <w:rFonts w:hint="eastAsia" w:ascii="宋体" w:hAnsi="宋体" w:eastAsia="宋体" w:cs="宋体"/>
          <w:color w:val="auto"/>
          <w:sz w:val="24"/>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⑻施工场地清洁卫生的要求：</w:t>
      </w:r>
      <w:r>
        <w:rPr>
          <w:rFonts w:hint="eastAsia" w:ascii="宋体" w:hAnsi="宋体" w:eastAsia="宋体" w:cs="宋体"/>
          <w:color w:val="auto"/>
          <w:sz w:val="24"/>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⑼双方约定承包人应做的其他工作：</w:t>
      </w:r>
      <w:r>
        <w:rPr>
          <w:rFonts w:hint="eastAsia" w:ascii="宋体" w:hAnsi="宋体" w:eastAsia="宋体" w:cs="宋体"/>
          <w:color w:val="auto"/>
          <w:sz w:val="24"/>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施工过程中与周围发生的纠纷由承包人自行协商解决，费用由施工单位自理。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其他</w:t>
      </w:r>
      <w:r>
        <w:rPr>
          <w:rFonts w:hint="eastAsia" w:ascii="宋体" w:hAnsi="宋体" w:eastAsia="宋体" w:cs="宋体"/>
          <w:color w:val="auto"/>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 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3.2.1 项目经理：</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建造师执业资格等级：</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建造师注册证书号：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建造师执业印章号：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安全生产考核合格证书号：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承包人对项目经理的授权范围如下：</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关于项目经理每月在施工现场的时间要求：</w:t>
      </w:r>
      <w:r>
        <w:rPr>
          <w:rFonts w:hint="eastAsia" w:ascii="宋体" w:hAnsi="宋体" w:eastAsia="宋体" w:cs="宋体"/>
          <w:color w:val="auto"/>
          <w:sz w:val="24"/>
          <w:u w:val="single"/>
        </w:rPr>
        <w:t xml:space="preserve">项目经理在现场每日8小时以上，每周不少于5日，如有特殊情况，须提供书面请假经发包人批准</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承包人未提交劳动合同，以及没有为项目经理缴纳社会保险证明的违约责任：</w:t>
      </w:r>
      <w:r>
        <w:rPr>
          <w:rFonts w:hint="eastAsia" w:ascii="宋体" w:hAnsi="宋体" w:eastAsia="宋体" w:cs="宋体"/>
          <w:color w:val="auto"/>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项目经理未经批准，擅自离开施工现场的违约责任：</w:t>
      </w:r>
      <w:r>
        <w:rPr>
          <w:rFonts w:hint="eastAsia" w:ascii="宋体" w:hAnsi="宋体" w:eastAsia="宋体" w:cs="宋体"/>
          <w:color w:val="auto"/>
          <w:sz w:val="24"/>
          <w:u w:val="single"/>
        </w:rPr>
        <w:t xml:space="preserve">发包人每发现一次项目经理擅自离开施工现场的，承包人</w:t>
      </w:r>
      <w:r>
        <w:rPr>
          <w:rFonts w:hint="eastAsia" w:ascii="宋体" w:hAnsi="宋体" w:eastAsia="宋体" w:cs="宋体"/>
          <w:b/>
          <w:color w:val="auto"/>
          <w:sz w:val="24"/>
          <w:u w:val="single"/>
        </w:rPr>
        <w:t xml:space="preserve">向发包人支付违约金5000元，</w:t>
      </w:r>
      <w:r>
        <w:rPr>
          <w:rFonts w:hint="eastAsia" w:ascii="宋体" w:hAnsi="宋体" w:eastAsia="宋体" w:cs="宋体"/>
          <w:color w:val="auto"/>
          <w:sz w:val="24"/>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3.2.2 承包人擅自更换项目经理的违约责任：</w:t>
      </w:r>
      <w:r>
        <w:rPr>
          <w:rFonts w:hint="eastAsia" w:ascii="宋体" w:hAnsi="宋体" w:eastAsia="宋体" w:cs="宋体"/>
          <w:color w:val="auto"/>
          <w:sz w:val="24"/>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3.2.3承包人无正当理由拒绝更换项目经理的违约责任：</w:t>
      </w:r>
      <w:r>
        <w:rPr>
          <w:rFonts w:hint="eastAsia" w:ascii="宋体" w:hAnsi="宋体" w:eastAsia="宋体" w:cs="宋体"/>
          <w:color w:val="auto"/>
          <w:sz w:val="24"/>
          <w:u w:val="single"/>
        </w:rPr>
        <w:t xml:space="preserve">扣除承包人的全部质保金并解除施工合同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3.3 承包人人员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3.3.1 承包人提交项目管理机构及施工现场管理人员安排报告的期限：</w:t>
      </w:r>
      <w:r>
        <w:rPr>
          <w:rFonts w:hint="eastAsia" w:ascii="宋体" w:hAnsi="宋体" w:eastAsia="宋体" w:cs="宋体"/>
          <w:color w:val="auto"/>
          <w:sz w:val="24"/>
          <w:u w:val="single"/>
        </w:rPr>
        <w:t xml:space="preserve"> 接到开工令3天内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3.3.2 承包人无正当理由拒绝撤换主要施工管理人员的违约责任：</w:t>
      </w:r>
      <w:r>
        <w:rPr>
          <w:rFonts w:hint="eastAsia" w:ascii="宋体" w:hAnsi="宋体" w:eastAsia="宋体" w:cs="宋体"/>
          <w:color w:val="auto"/>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3.3.3 承包人主要施工管理人员离开施工现场的批准要求：</w:t>
      </w:r>
      <w:r>
        <w:rPr>
          <w:rFonts w:hint="eastAsia" w:ascii="宋体" w:hAnsi="宋体" w:eastAsia="宋体" w:cs="宋体"/>
          <w:color w:val="auto"/>
          <w:sz w:val="24"/>
          <w:u w:val="single"/>
        </w:rPr>
        <w:t xml:space="preserve">应提前1天书面通知监理人，并征得发包人书面同意。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3.3.4承包人擅自更换主要施工管理人员的违约责任：</w:t>
      </w:r>
      <w:r>
        <w:rPr>
          <w:rFonts w:hint="eastAsia" w:ascii="宋体" w:hAnsi="宋体" w:eastAsia="宋体" w:cs="宋体"/>
          <w:color w:val="auto"/>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承包人主要施工管理人员擅自离开施工现场的违约责任：</w:t>
      </w:r>
      <w:r>
        <w:rPr>
          <w:rFonts w:hint="eastAsia" w:ascii="宋体" w:hAnsi="宋体" w:eastAsia="宋体" w:cs="宋体"/>
          <w:color w:val="auto"/>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79" w:name="_Toc296503159"/>
      <w:r/>
      <w:bookmarkStart w:id="280" w:name="_Toc297123492"/>
      <w:r/>
      <w:bookmarkStart w:id="281" w:name="_Toc296346660"/>
      <w:r/>
      <w:bookmarkStart w:id="282" w:name="_Toc297216151"/>
      <w:r/>
      <w:bookmarkStart w:id="283" w:name="_Toc304295523"/>
      <w:r/>
      <w:bookmarkStart w:id="284" w:name="_Toc300934945"/>
      <w:r/>
      <w:bookmarkStart w:id="285" w:name="_Toc296944498"/>
      <w:r/>
      <w:bookmarkStart w:id="286" w:name="_Toc312677988"/>
      <w:r/>
      <w:bookmarkStart w:id="287" w:name="_Toc296890987"/>
      <w:r/>
      <w:bookmarkStart w:id="288" w:name="_Toc292559364"/>
      <w:r/>
      <w:bookmarkStart w:id="289" w:name="_Toc296891199"/>
      <w:r/>
      <w:bookmarkStart w:id="290" w:name="_Toc303539102"/>
      <w:r/>
      <w:bookmarkStart w:id="291" w:name="_Toc296347158"/>
      <w:r/>
      <w:bookmarkStart w:id="292" w:name="_Toc292559869"/>
      <w:r/>
      <w:bookmarkStart w:id="293" w:name="_Toc297048345"/>
      <w:r/>
      <w:bookmarkStart w:id="294" w:name="_Toc297120459"/>
      <w:r>
        <w:rPr>
          <w:rFonts w:hint="eastAsia" w:ascii="宋体" w:hAnsi="宋体" w:eastAsia="宋体" w:cs="宋体"/>
          <w:color w:val="auto"/>
          <w:sz w:val="24"/>
        </w:rPr>
        <w:t xml:space="preserve">.4 分包</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95" w:name="_Toc292559365"/>
      <w:r/>
      <w:bookmarkStart w:id="296" w:name="_Toc318581158"/>
      <w:r/>
      <w:bookmarkStart w:id="297" w:name="_Toc297216152"/>
      <w:r/>
      <w:bookmarkStart w:id="298" w:name="_Toc296347159"/>
      <w:r/>
      <w:bookmarkStart w:id="299" w:name="_Toc303539103"/>
      <w:r/>
      <w:bookmarkStart w:id="300" w:name="_Toc297123493"/>
      <w:r/>
      <w:bookmarkStart w:id="301" w:name="_Toc296346661"/>
      <w:r/>
      <w:bookmarkStart w:id="302" w:name="_Toc312677989"/>
      <w:r/>
      <w:bookmarkStart w:id="303" w:name="_Toc296503160"/>
      <w:r/>
      <w:bookmarkStart w:id="304" w:name="_Toc296890988"/>
      <w:r/>
      <w:bookmarkStart w:id="305" w:name="_Toc297048346"/>
      <w:r/>
      <w:bookmarkStart w:id="306" w:name="_Toc296891200"/>
      <w:r/>
      <w:bookmarkStart w:id="307" w:name="_Toc304295524"/>
      <w:r/>
      <w:bookmarkStart w:id="308" w:name="_Toc292559870"/>
      <w:r/>
      <w:bookmarkStart w:id="309" w:name="_Toc297120460"/>
      <w:r/>
      <w:bookmarkStart w:id="310" w:name="_Toc296944499"/>
      <w:r/>
      <w:bookmarkStart w:id="311" w:name="_Toc300934946"/>
      <w:r>
        <w:rPr>
          <w:rFonts w:hint="eastAsia" w:ascii="宋体" w:hAnsi="宋体" w:eastAsia="宋体" w:cs="宋体"/>
          <w:color w:val="auto"/>
          <w:sz w:val="24"/>
        </w:rPr>
        <w:t xml:space="preserve">.4.1 分包的一般约定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禁止分包的工程包括：</w:t>
      </w:r>
      <w:r>
        <w:rPr>
          <w:rFonts w:hint="eastAsia" w:ascii="宋体" w:hAnsi="宋体" w:eastAsia="宋体" w:cs="宋体"/>
          <w:color w:val="auto"/>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主体结构、关键性工作的范围：</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12" w:name="_Toc296347160"/>
      <w:r/>
      <w:bookmarkEnd w:id="312"/>
      <w:r/>
      <w:bookmarkStart w:id="313" w:name="_Toc303539104"/>
      <w:r/>
      <w:bookmarkEnd w:id="313"/>
      <w:r/>
      <w:bookmarkStart w:id="314" w:name="_Toc297216153"/>
      <w:r/>
      <w:bookmarkEnd w:id="314"/>
      <w:r/>
      <w:bookmarkStart w:id="315" w:name="_Toc296346662"/>
      <w:r/>
      <w:bookmarkEnd w:id="315"/>
      <w:r/>
      <w:bookmarkStart w:id="316" w:name="_Toc296503161"/>
      <w:r/>
      <w:bookmarkEnd w:id="316"/>
      <w:r/>
      <w:bookmarkStart w:id="317" w:name="_Toc304295525"/>
      <w:r/>
      <w:bookmarkEnd w:id="317"/>
      <w:r/>
      <w:bookmarkStart w:id="318" w:name="_Toc297048347"/>
      <w:r/>
      <w:bookmarkEnd w:id="318"/>
      <w:r/>
      <w:bookmarkStart w:id="319" w:name="_Toc296890989"/>
      <w:r/>
      <w:bookmarkEnd w:id="319"/>
      <w:r/>
      <w:bookmarkStart w:id="320" w:name="_Toc296891201"/>
      <w:r/>
      <w:bookmarkEnd w:id="320"/>
      <w:r/>
      <w:bookmarkStart w:id="321" w:name="_Toc300934947"/>
      <w:r/>
      <w:bookmarkEnd w:id="321"/>
      <w:r/>
      <w:bookmarkStart w:id="322" w:name="_Toc297120461"/>
      <w:r/>
      <w:bookmarkEnd w:id="322"/>
      <w:r/>
      <w:bookmarkStart w:id="323" w:name="_Toc296944500"/>
      <w:r/>
      <w:bookmarkEnd w:id="323"/>
      <w:r/>
      <w:bookmarkStart w:id="324" w:name="_Toc297123494"/>
      <w:r/>
      <w:bookmarkEnd w:id="32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325" w:name="_Toc312677990"/>
      <w:r/>
      <w:bookmarkStart w:id="326" w:name="_Toc318581159"/>
      <w:r>
        <w:rPr>
          <w:rFonts w:hint="eastAsia" w:ascii="宋体" w:hAnsi="宋体" w:eastAsia="宋体" w:cs="宋体"/>
          <w:color w:val="auto"/>
          <w:sz w:val="24"/>
        </w:rPr>
        <w:t xml:space="preserve">.4.2分包的确定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允许分包的专业工程包括：</w:t>
      </w:r>
      <w:r>
        <w:rPr>
          <w:rFonts w:hint="eastAsia" w:ascii="宋体" w:hAnsi="宋体" w:eastAsia="宋体" w:cs="宋体"/>
          <w:color w:val="auto"/>
          <w:sz w:val="24"/>
          <w:u w:val="single"/>
        </w:rPr>
        <w:t xml:space="preserve">招标人有权决定分包内容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其他关于分包的约定：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3.4.3 分包合同价款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关于分包合同价款支付的约定：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325"/>
      <w:r/>
      <w:bookmarkEnd w:id="32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工程照管与成品、半成品保护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承包人负责照管工程及工程相关的材料、工程设备的起始时间：</w:t>
      </w:r>
      <w:r>
        <w:rPr>
          <w:rFonts w:hint="eastAsia" w:ascii="宋体" w:hAnsi="宋体" w:eastAsia="宋体" w:cs="宋体"/>
          <w:color w:val="auto"/>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 履约担保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承包人是否提供履约担保：</w:t>
      </w:r>
      <w:r>
        <w:rPr>
          <w:rFonts w:hint="eastAsia" w:ascii="宋体" w:hAnsi="宋体" w:eastAsia="宋体" w:cs="宋体"/>
          <w:color w:val="auto"/>
          <w:sz w:val="24"/>
          <w:u w:val="single"/>
        </w:rPr>
        <w:t xml:space="preserve">  本项目收取履约保证金，金额为合同金额的</w:t>
      </w:r>
      <w:r>
        <w:rPr>
          <w:rFonts w:hint="eastAsia" w:ascii="宋体" w:hAnsi="宋体" w:cs="宋体"/>
          <w:color w:val="auto"/>
          <w:sz w:val="24"/>
          <w:u w:val="single"/>
          <w:lang w:val="en-US" w:eastAsia="zh-CN"/>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承包人提供履约担保的形式、金额及期限的：</w:t>
      </w:r>
      <w:r>
        <w:rPr>
          <w:rFonts w:hint="eastAsia" w:ascii="宋体" w:hAnsi="宋体" w:eastAsia="宋体" w:cs="宋体"/>
          <w:color w:val="auto"/>
          <w:sz w:val="24"/>
          <w:u w:val="single"/>
        </w:rPr>
        <w:t xml:space="preserve"> 中标人应当以汇款（履约保证金必须从企业的法人基本存款账户缴纳）、支票、汇票、本票或者金融机构、担保机构出具的保函等非现金形式在成交通知书发出7日内签订合同前提交 </w:t>
      </w:r>
      <w:r>
        <w:rPr>
          <w:rFonts w:hint="eastAsia" w:ascii="宋体" w:hAnsi="宋体" w:eastAsia="宋体" w:cs="宋体"/>
          <w:color w:val="auto"/>
          <w:sz w:val="24"/>
          <w:u w:val="none"/>
        </w:rPr>
        <w:t xml:space="preserve">。</w:t>
      </w:r>
      <w:r/>
    </w:p>
    <w:p>
      <w:pPr>
        <w:pStyle w:val="703"/>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4、监理人员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4.1总监理工程师：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监理工程师执业资格证书号：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关于监理人的其他约定：</w:t>
      </w:r>
      <w:r>
        <w:rPr>
          <w:rFonts w:hint="eastAsia" w:ascii="宋体" w:hAnsi="宋体" w:eastAsia="宋体" w:cs="宋体"/>
          <w:color w:val="auto"/>
          <w:sz w:val="24"/>
          <w:u w:val="single"/>
        </w:rPr>
        <w:t xml:space="preserve">总监工程师签发的工程变更和付款凭证需发包人签字认可。</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4.2商定或确定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在发包人和承包人不能通过协商达成一致意见时，发包人授权监理人对以下事项进行确定：</w:t>
      </w:r>
      <w:r>
        <w:rPr>
          <w:rFonts w:hint="eastAsia" w:ascii="宋体" w:hAnsi="宋体" w:eastAsia="宋体" w:cs="宋体"/>
          <w:color w:val="auto"/>
          <w:sz w:val="24"/>
          <w:u w:val="single"/>
        </w:rPr>
        <w:t xml:space="preserve"> 无 。</w:t>
      </w:r>
      <w:r/>
    </w:p>
    <w:p>
      <w:pPr>
        <w:pStyle w:val="703"/>
        <w:ind w:firstLine="482"/>
        <w:spacing w:before="0" w:after="0" w:line="360" w:lineRule="auto"/>
        <w:rPr>
          <w:rFonts w:hint="eastAsia" w:ascii="宋体" w:hAnsi="宋体" w:eastAsia="宋体" w:cs="宋体"/>
          <w:color w:val="auto"/>
          <w:sz w:val="24"/>
          <w:szCs w:val="24"/>
        </w:rPr>
      </w:pPr>
      <w:r/>
      <w:bookmarkStart w:id="327" w:name="_Toc267251418"/>
      <w:r/>
      <w:bookmarkStart w:id="328" w:name="_Toc351203637"/>
      <w:r>
        <w:rPr>
          <w:rFonts w:hint="eastAsia" w:ascii="宋体" w:hAnsi="宋体" w:eastAsia="宋体" w:cs="宋体"/>
          <w:color w:val="auto"/>
          <w:sz w:val="24"/>
          <w:szCs w:val="24"/>
        </w:rPr>
        <w:t xml:space="preserve">5</w:t>
      </w:r>
      <w:bookmarkEnd w:id="327"/>
      <w:r>
        <w:rPr>
          <w:rFonts w:hint="eastAsia" w:ascii="宋体" w:hAnsi="宋体" w:eastAsia="宋体" w:cs="宋体"/>
          <w:color w:val="auto"/>
          <w:sz w:val="24"/>
          <w:szCs w:val="24"/>
        </w:rPr>
        <w:t xml:space="preserve">、工程质量</w:t>
      </w:r>
      <w:bookmarkEnd w:id="32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 质量要求</w:t>
      </w:r>
      <w:r/>
    </w:p>
    <w:p>
      <w:pPr>
        <w:ind w:firstLine="480"/>
        <w:spacing w:line="360" w:lineRule="auto"/>
        <w:rPr>
          <w:rFonts w:hint="default" w:ascii="宋体" w:hAnsi="宋体" w:eastAsia="宋体" w:cs="宋体"/>
          <w:color w:val="auto"/>
          <w:sz w:val="24"/>
          <w:u w:val="single"/>
          <w:lang w:val="en-US" w:eastAsia="zh-CN"/>
        </w:rPr>
      </w:pPr>
      <w:r>
        <w:rPr>
          <w:rFonts w:hint="eastAsia" w:ascii="宋体" w:hAnsi="宋体" w:eastAsia="宋体" w:cs="宋体"/>
          <w:color w:val="auto"/>
          <w:sz w:val="24"/>
        </w:rPr>
        <w:t xml:space="preserve">5.1.1 特殊质量标准和要求：</w:t>
      </w:r>
      <w:r>
        <w:rPr>
          <w:rFonts w:hint="eastAsia" w:ascii="宋体" w:hAnsi="宋体" w:cs="宋体"/>
          <w:color w:val="auto"/>
          <w:sz w:val="24"/>
          <w:u w:val="single"/>
          <w:lang w:val="en-US" w:eastAsia="zh-CN"/>
        </w:rPr>
        <w:t xml:space="preserve"> 合格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关于工程奖项的约定：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 隐蔽工程检查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5.2.2承包人提前通知监理人隐蔽工程检查的期限的约定：</w:t>
      </w:r>
      <w:r>
        <w:rPr>
          <w:rFonts w:hint="eastAsia" w:ascii="宋体" w:hAnsi="宋体" w:eastAsia="宋体" w:cs="宋体"/>
          <w:color w:val="auto"/>
          <w:sz w:val="24"/>
          <w:u w:val="single"/>
        </w:rPr>
        <w:t xml:space="preserve"> 承包人在检查前12小时以书面形式通知监理人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监理人不能按时进行检查时，应提前</w:t>
      </w:r>
      <w:r>
        <w:rPr>
          <w:rFonts w:hint="eastAsia" w:ascii="宋体" w:hAnsi="宋体" w:eastAsia="宋体" w:cs="宋体"/>
          <w:color w:val="auto"/>
          <w:sz w:val="24"/>
          <w:u w:val="single"/>
        </w:rPr>
        <w:t xml:space="preserve"> 12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w:t>
      </w:r>
      <w:r/>
    </w:p>
    <w:p>
      <w:pPr>
        <w:pStyle w:val="703"/>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6、安全文明施工与环境保护</w:t>
      </w:r>
      <w:bookmarkEnd w:id="26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6.1安全文明施工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6.1.1 项目安全生产的达标目标及相应事项的约定：</w:t>
      </w:r>
      <w:r>
        <w:rPr>
          <w:rFonts w:hint="eastAsia" w:ascii="宋体" w:hAnsi="宋体" w:eastAsia="宋体" w:cs="宋体"/>
          <w:color w:val="auto"/>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6.1.2 关于治安保卫的特别约定：</w:t>
      </w:r>
      <w:r>
        <w:rPr>
          <w:rFonts w:hint="eastAsia" w:ascii="宋体" w:hAnsi="宋体" w:eastAsia="宋体" w:cs="宋体"/>
          <w:color w:val="auto"/>
          <w:sz w:val="24"/>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关于编制施工场地治安管理计划的约定：</w:t>
      </w:r>
      <w:r>
        <w:rPr>
          <w:rFonts w:hint="eastAsia" w:ascii="宋体" w:hAnsi="宋体" w:eastAsia="宋体" w:cs="宋体"/>
          <w:color w:val="auto"/>
          <w:sz w:val="24"/>
          <w:u w:val="single"/>
        </w:rPr>
        <w:t xml:space="preserve">由发包人和承包人共同编制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6.1.3 文明施工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合同当事人对文明施工的要求：</w:t>
      </w:r>
      <w:r>
        <w:rPr>
          <w:rFonts w:hint="eastAsia" w:ascii="宋体" w:hAnsi="宋体" w:eastAsia="宋体" w:cs="宋体"/>
          <w:color w:val="auto"/>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6.1.4 关于安全文明施工费支付比例和支付期限的约定：</w:t>
      </w:r>
      <w:r>
        <w:rPr>
          <w:rFonts w:hint="eastAsia" w:ascii="宋体" w:hAnsi="宋体" w:cs="宋体"/>
          <w:color w:val="auto"/>
          <w:sz w:val="24"/>
          <w:u w:val="single"/>
          <w:lang w:val="en-US" w:eastAsia="zh-CN"/>
        </w:rPr>
        <w:t xml:space="preserve">按相关政策及规范执行</w:t>
      </w:r>
      <w:r>
        <w:rPr>
          <w:rFonts w:hint="eastAsia" w:ascii="宋体" w:hAnsi="宋体" w:eastAsia="宋体" w:cs="宋体"/>
          <w:color w:val="auto"/>
          <w:sz w:val="24"/>
          <w:u w:val="none"/>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承包方必须按发包方要求做好安全文明施工工作，设置必须的围挡及安全警示标志，如达不到发包方要求，发包方有权扣除安全文明措施费。</w:t>
      </w:r>
      <w:bookmarkEnd w:id="250"/>
      <w:r/>
      <w:bookmarkEnd w:id="251"/>
      <w:r/>
      <w:bookmarkEnd w:id="252"/>
      <w:r/>
      <w:bookmarkEnd w:id="253"/>
      <w:r/>
      <w:bookmarkEnd w:id="254"/>
      <w:r/>
      <w:bookmarkEnd w:id="255"/>
      <w:r/>
      <w:bookmarkEnd w:id="256"/>
      <w:r/>
      <w:r/>
    </w:p>
    <w:p>
      <w:pPr>
        <w:pStyle w:val="703"/>
        <w:ind w:firstLine="482"/>
        <w:spacing w:before="0" w:after="0" w:line="360" w:lineRule="auto"/>
        <w:rPr>
          <w:rFonts w:hint="eastAsia" w:ascii="宋体" w:hAnsi="宋体" w:eastAsia="宋体" w:cs="宋体"/>
          <w:color w:val="auto"/>
          <w:sz w:val="24"/>
          <w:szCs w:val="24"/>
        </w:rPr>
      </w:pPr>
      <w:r/>
      <w:bookmarkStart w:id="329" w:name="_Toc351203639"/>
      <w:r>
        <w:rPr>
          <w:rFonts w:hint="eastAsia" w:ascii="宋体" w:hAnsi="宋体" w:eastAsia="宋体" w:cs="宋体"/>
          <w:color w:val="auto"/>
          <w:sz w:val="24"/>
          <w:szCs w:val="24"/>
        </w:rPr>
        <w:t xml:space="preserve">7、工期和进度</w:t>
      </w:r>
      <w:bookmarkEnd w:id="32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施工组织设计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7.1.1 合同当事人约定的施工组织设计应包括的其他内容：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（1）总体概述：施工组织总体设想、方案针对性及施工标段划分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（2）施工现场平面布置和临时设施、临时道路布置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（3）施工进度计划和各阶段进度的保证措施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（4）劳动力、机械设备和材料投入计划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（5）关键施工技术、工艺及工程项目实施的重点、难点和解决方案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（6）新技术、新产品、新工艺、新材料应用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7.1.2 施工组织设计的提交和修改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承包人提交详细施工组织设计的期限的约定：</w:t>
      </w:r>
      <w:r>
        <w:rPr>
          <w:rFonts w:hint="eastAsia" w:ascii="宋体" w:hAnsi="宋体" w:eastAsia="宋体" w:cs="宋体"/>
          <w:color w:val="auto"/>
          <w:sz w:val="24"/>
          <w:u w:val="single"/>
        </w:rPr>
        <w:t xml:space="preserve">合同签订后14日内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发包人和监理人在收到详细的施工组织设计后确认或提出修改意见的期限：</w:t>
      </w:r>
      <w:r>
        <w:rPr>
          <w:rFonts w:hint="eastAsia" w:ascii="宋体" w:hAnsi="宋体" w:eastAsia="宋体" w:cs="宋体"/>
          <w:color w:val="auto"/>
          <w:sz w:val="24"/>
          <w:u w:val="single"/>
        </w:rPr>
        <w:t xml:space="preserve">收到施工组织设计后7天内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330" w:name="_Toc300934966"/>
      <w:r/>
      <w:bookmarkStart w:id="331" w:name="_Toc304295541"/>
      <w:r/>
      <w:bookmarkStart w:id="332" w:name="_Toc297123514"/>
      <w:r/>
      <w:bookmarkStart w:id="333" w:name="_Toc312677479"/>
      <w:r/>
      <w:bookmarkStart w:id="334" w:name="_Toc303539123"/>
      <w:r/>
      <w:bookmarkStart w:id="335" w:name="_Toc297216173"/>
      <w:r/>
      <w:bookmarkStart w:id="336" w:name="_Toc312678005"/>
      <w:r>
        <w:rPr>
          <w:rFonts w:hint="eastAsia" w:ascii="宋体" w:hAnsi="宋体" w:eastAsia="宋体" w:cs="宋体"/>
          <w:color w:val="auto"/>
          <w:sz w:val="24"/>
        </w:rPr>
        <w:t xml:space="preserve">.2 施工进度计划</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7.2.1 施工进度计划的修订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发包人和监理人在收到修订的施工进度计划后确认或提出修改意见的期限：</w:t>
      </w:r>
      <w:r>
        <w:rPr>
          <w:rFonts w:hint="eastAsia" w:ascii="宋体" w:hAnsi="宋体" w:eastAsia="宋体" w:cs="宋体"/>
          <w:color w:val="auto"/>
          <w:sz w:val="24"/>
          <w:u w:val="single"/>
        </w:rPr>
        <w:t xml:space="preserve">收到修订的施工进度计划后7天内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开工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7.3.1 开工准备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关于承包人提交工程开工报审表的期限：</w:t>
      </w:r>
      <w:r>
        <w:rPr>
          <w:rFonts w:hint="eastAsia" w:ascii="宋体" w:hAnsi="宋体" w:eastAsia="宋体" w:cs="宋体"/>
          <w:color w:val="auto"/>
          <w:sz w:val="24"/>
          <w:u w:val="single"/>
        </w:rPr>
        <w:t xml:space="preserve">合同签订后7日内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关于发包人应完成的其他开工准备工作及期限：</w:t>
      </w:r>
      <w:r>
        <w:rPr>
          <w:rFonts w:hint="eastAsia" w:ascii="宋体" w:hAnsi="宋体" w:eastAsia="宋体" w:cs="宋体"/>
          <w:color w:val="auto"/>
          <w:sz w:val="24"/>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关于承包人应完成的其他开工准备工作及期限：</w:t>
      </w:r>
      <w:r>
        <w:rPr>
          <w:rFonts w:hint="eastAsia" w:ascii="宋体" w:hAnsi="宋体" w:eastAsia="宋体" w:cs="宋体"/>
          <w:color w:val="auto"/>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7.3.2开工通知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因发包人原因造成监理人未能在计划开工日期之日起</w:t>
      </w:r>
      <w:r>
        <w:rPr>
          <w:rFonts w:hint="eastAsia" w:ascii="宋体" w:hAnsi="宋体" w:eastAsia="宋体" w:cs="宋体"/>
          <w:color w:val="auto"/>
          <w:sz w:val="24"/>
          <w:u w:val="single"/>
        </w:rPr>
        <w:t xml:space="preserve"> 180 </w:t>
      </w:r>
      <w:r>
        <w:rPr>
          <w:rFonts w:hint="eastAsia" w:ascii="宋体" w:hAnsi="宋体" w:eastAsia="宋体" w:cs="宋体"/>
          <w:color w:val="auto"/>
          <w:sz w:val="24"/>
        </w:rPr>
        <w:t xml:space="preserve">天内发出开工通知的，承包人有权提出价格调整要求，或者解除合同。</w:t>
      </w:r>
      <w:bookmarkEnd w:id="330"/>
      <w:r/>
      <w:bookmarkEnd w:id="331"/>
      <w:r/>
      <w:bookmarkEnd w:id="332"/>
      <w:r/>
      <w:bookmarkEnd w:id="333"/>
      <w:r/>
      <w:bookmarkEnd w:id="334"/>
      <w:r/>
      <w:bookmarkEnd w:id="335"/>
      <w:r/>
      <w:bookmarkEnd w:id="33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测量放线</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7.4.1发包人通过监理人向承包人提供测量基准点、基准线和水准点及其书面资料的期限：</w:t>
      </w:r>
      <w:r>
        <w:rPr>
          <w:rFonts w:hint="eastAsia" w:ascii="宋体" w:hAnsi="宋体" w:eastAsia="宋体" w:cs="宋体"/>
          <w:color w:val="auto"/>
          <w:sz w:val="24"/>
          <w:u w:val="single"/>
        </w:rPr>
        <w:t xml:space="preserve">开工日期7天前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337" w:name="_Toc300934968"/>
      <w:r/>
      <w:bookmarkStart w:id="338" w:name="_Toc297123516"/>
      <w:r/>
      <w:bookmarkStart w:id="339" w:name="_Toc304295546"/>
      <w:r/>
      <w:bookmarkStart w:id="340" w:name="_Toc312677484"/>
      <w:r/>
      <w:bookmarkStart w:id="341" w:name="_Toc312678010"/>
      <w:r/>
      <w:bookmarkStart w:id="342" w:name="_Toc297216175"/>
      <w:r/>
      <w:bookmarkStart w:id="343" w:name="_Toc303539125"/>
      <w:r>
        <w:rPr>
          <w:rFonts w:hint="eastAsia" w:ascii="宋体" w:hAnsi="宋体" w:eastAsia="宋体" w:cs="宋体"/>
          <w:color w:val="auto"/>
          <w:sz w:val="24"/>
        </w:rPr>
        <w:t xml:space="preserve">.5 工期延误</w:t>
      </w:r>
      <w:bookmarkEnd w:id="337"/>
      <w:r/>
      <w:bookmarkEnd w:id="338"/>
      <w:r/>
      <w:bookmarkEnd w:id="339"/>
      <w:r/>
      <w:bookmarkEnd w:id="340"/>
      <w:r/>
      <w:bookmarkEnd w:id="341"/>
      <w:r/>
      <w:bookmarkEnd w:id="342"/>
      <w:r/>
      <w:bookmarkEnd w:id="34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7.5.1 因发包人原因导致工期延误</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因发包人原因导致工期延误的其他情形：</w:t>
      </w:r>
      <w:r>
        <w:rPr>
          <w:rFonts w:hint="eastAsia" w:ascii="宋体" w:hAnsi="宋体" w:eastAsia="宋体" w:cs="宋体"/>
          <w:color w:val="auto"/>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344" w:name="_Toc318581169"/>
      <w:r/>
      <w:bookmarkStart w:id="345" w:name="_Toc312678012"/>
      <w:r/>
      <w:bookmarkStart w:id="346" w:name="_Toc312677486"/>
      <w:r/>
      <w:bookmarkStart w:id="347" w:name="_Toc297216177"/>
      <w:r/>
      <w:bookmarkStart w:id="348" w:name="_Toc303539127"/>
      <w:r/>
      <w:bookmarkStart w:id="349" w:name="_Toc300934970"/>
      <w:r/>
      <w:bookmarkStart w:id="350" w:name="_Toc304295548"/>
      <w:r/>
      <w:bookmarkStart w:id="351" w:name="_Toc297123518"/>
      <w:r>
        <w:rPr>
          <w:rFonts w:hint="eastAsia" w:ascii="宋体" w:hAnsi="宋体" w:eastAsia="宋体" w:cs="宋体"/>
          <w:color w:val="auto"/>
          <w:sz w:val="24"/>
        </w:rPr>
        <w:t xml:space="preserve">.5.2 因承包人原因导致工期延误</w:t>
      </w:r>
      <w:bookmarkEnd w:id="344"/>
      <w:r/>
      <w:bookmarkEnd w:id="345"/>
      <w:r/>
      <w:bookmarkEnd w:id="346"/>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w:t>
      </w:r>
      <w:bookmarkStart w:id="352" w:name="_Toc312677487"/>
      <w:r/>
      <w:bookmarkStart w:id="353" w:name="_Toc318581170"/>
      <w:r/>
      <w:bookmarkStart w:id="354" w:name="_Toc312678013"/>
      <w:r>
        <w:rPr>
          <w:rFonts w:hint="eastAsia" w:ascii="宋体" w:hAnsi="宋体" w:eastAsia="宋体" w:cs="宋体"/>
          <w:color w:val="auto"/>
          <w:sz w:val="24"/>
        </w:rPr>
        <w:t xml:space="preserve">承包人原因造成工期延误，逾期竣工违约金的计算方法为：</w:t>
      </w:r>
      <w:r>
        <w:rPr>
          <w:rFonts w:hint="eastAsia" w:ascii="宋体" w:hAnsi="宋体" w:eastAsia="宋体" w:cs="宋体"/>
          <w:b/>
          <w:color w:val="auto"/>
          <w:sz w:val="24"/>
          <w:u w:val="single"/>
        </w:rPr>
        <w:t xml:space="preserve">每延误一天，承包人赔偿给发包人合同价的万分之一违约金</w:t>
      </w:r>
      <w:r>
        <w:rPr>
          <w:rFonts w:hint="eastAsia" w:ascii="宋体" w:hAnsi="宋体" w:eastAsia="宋体" w:cs="宋体"/>
          <w:b/>
          <w:color w:val="auto"/>
          <w:sz w:val="24"/>
        </w:rPr>
        <w:t xml:space="preserve">。</w:t>
      </w:r>
      <w:bookmarkEnd w:id="347"/>
      <w:r/>
      <w:bookmarkEnd w:id="348"/>
      <w:r/>
      <w:bookmarkEnd w:id="349"/>
      <w:r/>
      <w:bookmarkEnd w:id="350"/>
      <w:r/>
      <w:bookmarkEnd w:id="351"/>
      <w:r/>
      <w:bookmarkEnd w:id="352"/>
      <w:r/>
      <w:bookmarkEnd w:id="353"/>
      <w:r/>
      <w:bookmarkEnd w:id="35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355" w:name="_Toc297216178"/>
      <w:r/>
      <w:bookmarkStart w:id="356" w:name="_Toc303539128"/>
      <w:r/>
      <w:bookmarkStart w:id="357" w:name="_Toc304295549"/>
      <w:r/>
      <w:bookmarkStart w:id="358" w:name="_Toc300934971"/>
      <w:r/>
      <w:bookmarkStart w:id="359" w:name="_Toc312678015"/>
      <w:r/>
      <w:bookmarkStart w:id="360" w:name="_Toc297123519"/>
      <w:r>
        <w:rPr>
          <w:rFonts w:hint="eastAsia" w:ascii="宋体" w:hAnsi="宋体" w:eastAsia="宋体" w:cs="宋体"/>
          <w:color w:val="auto"/>
          <w:sz w:val="24"/>
        </w:rPr>
        <w:t xml:space="preserve">.6 不</w:t>
      </w:r>
      <w:bookmarkEnd w:id="355"/>
      <w:r/>
      <w:bookmarkEnd w:id="356"/>
      <w:r/>
      <w:bookmarkEnd w:id="357"/>
      <w:r/>
      <w:bookmarkEnd w:id="358"/>
      <w:r/>
      <w:bookmarkEnd w:id="359"/>
      <w:r/>
      <w:bookmarkEnd w:id="360"/>
      <w:r>
        <w:rPr>
          <w:rFonts w:hint="eastAsia" w:ascii="宋体" w:hAnsi="宋体" w:eastAsia="宋体" w:cs="宋体"/>
          <w:color w:val="auto"/>
          <w:sz w:val="24"/>
        </w:rPr>
        <w:t xml:space="preserve">利物质条件</w:t>
      </w:r>
      <w:r/>
    </w:p>
    <w:p>
      <w:pPr>
        <w:ind w:firstLine="480"/>
        <w:spacing w:line="360" w:lineRule="auto"/>
        <w:rPr>
          <w:rFonts w:hint="eastAsia" w:ascii="宋体" w:hAnsi="宋体" w:eastAsia="宋体" w:cs="宋体"/>
          <w:color w:val="auto"/>
          <w:sz w:val="24"/>
        </w:rPr>
      </w:pPr>
      <w:r/>
      <w:bookmarkStart w:id="361" w:name="_Toc318581172"/>
      <w:r/>
      <w:bookmarkStart w:id="362" w:name="_Toc312678016"/>
      <w:r/>
      <w:bookmarkStart w:id="363" w:name="_Toc303539129"/>
      <w:r/>
      <w:bookmarkStart w:id="364" w:name="_Toc297123520"/>
      <w:r/>
      <w:bookmarkStart w:id="365" w:name="_Toc300934972"/>
      <w:r/>
      <w:bookmarkStart w:id="366" w:name="_Toc304295550"/>
      <w:r/>
      <w:bookmarkStart w:id="367" w:name="_Toc297216179"/>
      <w:r>
        <w:rPr>
          <w:rFonts w:hint="eastAsia" w:ascii="宋体" w:hAnsi="宋体" w:eastAsia="宋体" w:cs="宋体"/>
          <w:color w:val="auto"/>
          <w:sz w:val="24"/>
        </w:rPr>
        <w:t xml:space="preserve">不利物质条件的其他情形和有关约定：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361"/>
      <w:r/>
      <w:bookmarkEnd w:id="362"/>
      <w:r/>
      <w:bookmarkEnd w:id="363"/>
      <w:r/>
      <w:bookmarkEnd w:id="364"/>
      <w:r/>
      <w:bookmarkEnd w:id="365"/>
      <w:r/>
      <w:bookmarkEnd w:id="366"/>
      <w:r/>
      <w:bookmarkEnd w:id="36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368" w:name="_Toc300934973"/>
      <w:r/>
      <w:bookmarkStart w:id="369" w:name="_Toc297216180"/>
      <w:r/>
      <w:bookmarkStart w:id="370" w:name="_Toc297123521"/>
      <w:r/>
      <w:bookmarkStart w:id="371" w:name="_Toc304295551"/>
      <w:r/>
      <w:bookmarkStart w:id="372" w:name="_Toc312678017"/>
      <w:r/>
      <w:bookmarkStart w:id="373" w:name="_Toc303539130"/>
      <w:r>
        <w:rPr>
          <w:rFonts w:hint="eastAsia" w:ascii="宋体" w:hAnsi="宋体" w:eastAsia="宋体" w:cs="宋体"/>
          <w:color w:val="auto"/>
          <w:sz w:val="24"/>
        </w:rPr>
        <w:t xml:space="preserve">.7异常恶劣的气候条件</w:t>
      </w:r>
      <w:bookmarkEnd w:id="368"/>
      <w:r/>
      <w:bookmarkEnd w:id="369"/>
      <w:r/>
      <w:bookmarkEnd w:id="370"/>
      <w:r/>
      <w:bookmarkEnd w:id="371"/>
      <w:r/>
      <w:bookmarkEnd w:id="372"/>
      <w:r/>
      <w:bookmarkEnd w:id="37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发包人和承包人同意以下情形视为异常恶劣的气候条件：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日降雨量大于50mm的雨日超过1天；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6级以上台风灾害；</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日气温超过38℃ 的高温大于3天；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w:t>
      </w:r>
      <w:r>
        <w:rPr>
          <w:rFonts w:hint="eastAsia" w:ascii="宋体" w:hAnsi="宋体" w:eastAsia="宋体" w:cs="宋体"/>
          <w:color w:val="auto"/>
          <w:sz w:val="24"/>
          <w:u w:val="single"/>
        </w:rPr>
        <w:t xml:space="preserve">日气温低于－20℃的严寒大于3天；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u w:val="single"/>
        </w:rPr>
        <w:t xml:space="preserve">造成工程损坏的冰雹和大雪灾害：日降雪量10mm及以上。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 提前竣工的奖励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7.8.1提前竣工的奖励：</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pStyle w:val="703"/>
        <w:ind w:firstLine="482"/>
        <w:spacing w:before="0" w:after="0" w:line="360" w:lineRule="auto"/>
        <w:rPr>
          <w:rFonts w:hint="eastAsia" w:ascii="宋体" w:hAnsi="宋体" w:eastAsia="宋体" w:cs="宋体"/>
          <w:color w:val="auto"/>
          <w:sz w:val="24"/>
          <w:szCs w:val="24"/>
        </w:rPr>
      </w:pPr>
      <w:r/>
      <w:bookmarkStart w:id="374" w:name="_Toc351203640"/>
      <w:r>
        <w:rPr>
          <w:rFonts w:hint="eastAsia" w:ascii="宋体" w:hAnsi="宋体" w:eastAsia="宋体" w:cs="宋体"/>
          <w:color w:val="auto"/>
          <w:sz w:val="24"/>
          <w:szCs w:val="24"/>
        </w:rPr>
        <w:t xml:space="preserve">8、材料与设备</w:t>
      </w:r>
      <w:bookmarkEnd w:id="374"/>
      <w:r/>
      <w:r/>
    </w:p>
    <w:p>
      <w:pPr>
        <w:ind w:firstLine="480"/>
        <w:spacing w:line="360" w:lineRule="auto"/>
        <w:rPr>
          <w:rFonts w:hint="eastAsia" w:ascii="宋体" w:hAnsi="宋体" w:eastAsia="宋体" w:cs="宋体"/>
          <w:color w:val="auto"/>
          <w:sz w:val="24"/>
        </w:rPr>
      </w:pPr>
      <w:r/>
      <w:bookmarkStart w:id="375" w:name="_Toc312677494"/>
      <w:r/>
      <w:bookmarkStart w:id="376" w:name="_Toc300934980"/>
      <w:r/>
      <w:bookmarkStart w:id="377" w:name="_Toc297216187"/>
      <w:r/>
      <w:bookmarkStart w:id="378" w:name="_Toc296503168"/>
      <w:r/>
      <w:bookmarkStart w:id="379" w:name="_Toc296346669"/>
      <w:r/>
      <w:bookmarkStart w:id="380" w:name="_Toc318581173"/>
      <w:r/>
      <w:bookmarkStart w:id="381" w:name="_Toc304295557"/>
      <w:r/>
      <w:bookmarkStart w:id="382" w:name="_Toc297048354"/>
      <w:r/>
      <w:bookmarkStart w:id="383" w:name="_Toc297120468"/>
      <w:r/>
      <w:bookmarkStart w:id="384" w:name="_Toc296944507"/>
      <w:r/>
      <w:bookmarkStart w:id="385" w:name="_Toc297123528"/>
      <w:r/>
      <w:bookmarkStart w:id="386" w:name="_Toc312678020"/>
      <w:r/>
      <w:bookmarkStart w:id="387" w:name="_Toc296891208"/>
      <w:r/>
      <w:bookmarkStart w:id="388" w:name="_Toc296890996"/>
      <w:r/>
      <w:bookmarkStart w:id="389" w:name="_Toc303539137"/>
      <w:r/>
      <w:bookmarkStart w:id="390" w:name="_Toc296347167"/>
      <w:r>
        <w:rPr>
          <w:rFonts w:hint="eastAsia" w:ascii="宋体" w:hAnsi="宋体" w:eastAsia="宋体" w:cs="宋体"/>
          <w:color w:val="auto"/>
          <w:sz w:val="24"/>
        </w:rPr>
        <w:t xml:space="preserve">8.1 施工设备和临时设施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8.1.1 承包人提供的施工设备和临时设施关于修建临时设施费用承担的约定：</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bookmarkEnd w:id="257"/>
      <w:r/>
      <w:bookmarkEnd w:id="258"/>
      <w:r/>
      <w:bookmarkEnd w:id="259"/>
      <w:r/>
      <w:bookmarkEnd w:id="260"/>
      <w:r/>
      <w:bookmarkEnd w:id="261"/>
      <w:r/>
      <w:bookmarkEnd w:id="262"/>
      <w:r/>
      <w:bookmarkEnd w:id="263"/>
      <w:r/>
      <w:bookmarkEnd w:id="264"/>
      <w:r/>
      <w:bookmarkEnd w:id="265"/>
      <w:r/>
      <w:bookmarkEnd w:id="266"/>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pStyle w:val="703"/>
        <w:ind w:firstLine="482"/>
        <w:spacing w:before="0" w:after="0" w:line="360" w:lineRule="auto"/>
        <w:rPr>
          <w:rFonts w:hint="eastAsia" w:ascii="宋体" w:hAnsi="宋体" w:eastAsia="宋体" w:cs="宋体"/>
          <w:color w:val="auto"/>
          <w:sz w:val="24"/>
          <w:szCs w:val="24"/>
        </w:rPr>
      </w:pPr>
      <w:r/>
      <w:bookmarkStart w:id="391" w:name="_Toc280868655"/>
      <w:r/>
      <w:bookmarkStart w:id="392" w:name="_Toc267251424"/>
      <w:r/>
      <w:bookmarkStart w:id="393" w:name="_Toc280868656"/>
      <w:r/>
      <w:bookmarkStart w:id="394" w:name="_Toc351203641"/>
      <w:r>
        <w:rPr>
          <w:rFonts w:hint="eastAsia" w:ascii="宋体" w:hAnsi="宋体" w:eastAsia="宋体" w:cs="宋体"/>
          <w:color w:val="auto"/>
          <w:sz w:val="24"/>
          <w:szCs w:val="24"/>
        </w:rPr>
        <w:t xml:space="preserve">9</w:t>
      </w:r>
      <w:bookmarkEnd w:id="391"/>
      <w:r/>
      <w:bookmarkEnd w:id="392"/>
      <w:r/>
      <w:bookmarkEnd w:id="393"/>
      <w:r/>
      <w:bookmarkStart w:id="395" w:name="_Toc304295559"/>
      <w:r/>
      <w:bookmarkStart w:id="396" w:name="_Toc312677495"/>
      <w:r/>
      <w:bookmarkStart w:id="397" w:name="_Toc300934982"/>
      <w:r/>
      <w:bookmarkStart w:id="398" w:name="_Toc312678021"/>
      <w:r/>
      <w:bookmarkStart w:id="399" w:name="_Toc297216192"/>
      <w:r/>
      <w:bookmarkStart w:id="400" w:name="_Toc297123533"/>
      <w:r/>
      <w:bookmarkStart w:id="401" w:name="_Toc303539139"/>
      <w:r/>
      <w:bookmarkStart w:id="402" w:name="_Toc296891213"/>
      <w:r/>
      <w:bookmarkStart w:id="403" w:name="_Toc296891001"/>
      <w:r/>
      <w:bookmarkStart w:id="404" w:name="_Toc267251427"/>
      <w:r/>
      <w:bookmarkStart w:id="405" w:name="_Toc296347172"/>
      <w:r/>
      <w:bookmarkStart w:id="406" w:name="_Toc296944512"/>
      <w:r/>
      <w:bookmarkStart w:id="407" w:name="_Toc296503173"/>
      <w:r/>
      <w:bookmarkStart w:id="408" w:name="_Toc296346674"/>
      <w:r/>
      <w:bookmarkStart w:id="409" w:name="_Toc292559378"/>
      <w:r/>
      <w:bookmarkStart w:id="410" w:name="_Toc267251428"/>
      <w:r/>
      <w:bookmarkStart w:id="411" w:name="_Toc297120473"/>
      <w:r/>
      <w:bookmarkStart w:id="412" w:name="_Toc297048359"/>
      <w:r/>
      <w:bookmarkStart w:id="413" w:name="_Toc292559883"/>
      <w:r>
        <w:rPr>
          <w:rFonts w:hint="eastAsia" w:ascii="宋体" w:hAnsi="宋体" w:eastAsia="宋体" w:cs="宋体"/>
          <w:color w:val="auto"/>
          <w:sz w:val="24"/>
          <w:szCs w:val="24"/>
        </w:rPr>
        <w:t xml:space="preserve">、试验与检验</w:t>
      </w:r>
      <w:bookmarkEnd w:id="394"/>
      <w:r/>
      <w:bookmarkEnd w:id="395"/>
      <w:r/>
      <w:bookmarkEnd w:id="396"/>
      <w:r/>
      <w:bookmarkEnd w:id="397"/>
      <w:r/>
      <w:bookmarkEnd w:id="398"/>
      <w:r/>
      <w:bookmarkEnd w:id="399"/>
      <w:r/>
      <w:bookmarkEnd w:id="400"/>
      <w:r/>
      <w:bookmarkEnd w:id="40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414" w:name="_Toc300934983"/>
      <w:r/>
      <w:bookmarkStart w:id="415" w:name="_Toc303539140"/>
      <w:r/>
      <w:bookmarkStart w:id="416" w:name="_Toc297123534"/>
      <w:r/>
      <w:bookmarkStart w:id="417" w:name="_Toc297216193"/>
      <w:r/>
      <w:bookmarkStart w:id="418" w:name="_Toc312678022"/>
      <w:r/>
      <w:bookmarkStart w:id="419" w:name="_Toc304295560"/>
      <w:r/>
      <w:bookmarkStart w:id="420" w:name="_Toc312677496"/>
      <w:r>
        <w:rPr>
          <w:rFonts w:hint="eastAsia" w:ascii="宋体" w:hAnsi="宋体" w:eastAsia="宋体" w:cs="宋体"/>
          <w:color w:val="auto"/>
          <w:sz w:val="24"/>
        </w:rPr>
        <w:t xml:space="preserve">.1试验设备与试验人员</w:t>
      </w:r>
      <w:bookmarkEnd w:id="414"/>
      <w:r/>
      <w:bookmarkEnd w:id="415"/>
      <w:r/>
      <w:bookmarkEnd w:id="416"/>
      <w:r/>
      <w:bookmarkEnd w:id="417"/>
      <w:r/>
      <w:bookmarkEnd w:id="418"/>
      <w:r/>
      <w:bookmarkEnd w:id="419"/>
      <w:r/>
      <w:bookmarkEnd w:id="42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421" w:name="_Toc300934984"/>
      <w:r/>
      <w:bookmarkStart w:id="422" w:name="_Toc303539141"/>
      <w:r/>
      <w:bookmarkStart w:id="423" w:name="_Toc312677497"/>
      <w:r/>
      <w:bookmarkStart w:id="424" w:name="_Toc312678023"/>
      <w:r/>
      <w:bookmarkStart w:id="425" w:name="_Toc297216194"/>
      <w:r/>
      <w:bookmarkStart w:id="426" w:name="_Toc304295561"/>
      <w:r/>
      <w:bookmarkStart w:id="427" w:name="_Toc297123535"/>
      <w:r/>
      <w:bookmarkStart w:id="428" w:name="_Toc318581174"/>
      <w:r>
        <w:rPr>
          <w:rFonts w:hint="eastAsia" w:ascii="宋体" w:hAnsi="宋体" w:eastAsia="宋体" w:cs="宋体"/>
          <w:color w:val="auto"/>
          <w:sz w:val="24"/>
        </w:rPr>
        <w:t xml:space="preserve">.1.1 试验设备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施工现场需要配置的试验场所：</w:t>
      </w:r>
      <w:bookmarkEnd w:id="421"/>
      <w:r/>
      <w:bookmarkEnd w:id="422"/>
      <w:r/>
      <w:bookmarkEnd w:id="423"/>
      <w:r/>
      <w:bookmarkEnd w:id="424"/>
      <w:r/>
      <w:bookmarkEnd w:id="425"/>
      <w:r/>
      <w:bookmarkEnd w:id="426"/>
      <w:r/>
      <w:bookmarkEnd w:id="427"/>
      <w:r/>
      <w:bookmarkStart w:id="429" w:name="_Toc297123536"/>
      <w:r/>
      <w:bookmarkStart w:id="430" w:name="_Toc297216195"/>
      <w:r/>
      <w:bookmarkStart w:id="431" w:name="_Toc312678024"/>
      <w:r/>
      <w:bookmarkStart w:id="432" w:name="_Toc304295562"/>
      <w:r/>
      <w:bookmarkStart w:id="433" w:name="_Toc312677498"/>
      <w:r/>
      <w:bookmarkStart w:id="434" w:name="_Toc303539142"/>
      <w:r/>
      <w:bookmarkStart w:id="435" w:name="_Toc300934985"/>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施工现场需要配备的试验设备：</w:t>
      </w:r>
      <w:r>
        <w:rPr>
          <w:rFonts w:hint="eastAsia" w:ascii="宋体" w:hAnsi="宋体" w:eastAsia="宋体" w:cs="宋体"/>
          <w:color w:val="auto"/>
          <w:sz w:val="24"/>
          <w:u w:val="single"/>
        </w:rPr>
        <w:t xml:space="preserve">由承包人提供。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施工现场需要具备的其他试验条件：</w:t>
      </w:r>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现场工艺试验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现场工艺试验的有关约定：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428"/>
      <w:r/>
      <w:bookmarkEnd w:id="429"/>
      <w:r/>
      <w:bookmarkEnd w:id="430"/>
      <w:r/>
      <w:bookmarkEnd w:id="431"/>
      <w:r/>
      <w:bookmarkEnd w:id="432"/>
      <w:r/>
      <w:bookmarkEnd w:id="433"/>
      <w:r/>
      <w:bookmarkEnd w:id="434"/>
      <w:r/>
      <w:bookmarkEnd w:id="435"/>
      <w:r/>
      <w:r/>
    </w:p>
    <w:p>
      <w:pPr>
        <w:pStyle w:val="703"/>
        <w:ind w:firstLine="482"/>
        <w:spacing w:before="0" w:after="0" w:line="360" w:lineRule="auto"/>
        <w:rPr>
          <w:rFonts w:hint="eastAsia" w:ascii="宋体" w:hAnsi="宋体" w:eastAsia="宋体" w:cs="宋体"/>
          <w:color w:val="auto"/>
          <w:sz w:val="24"/>
          <w:szCs w:val="24"/>
        </w:rPr>
      </w:pPr>
      <w:r/>
      <w:bookmarkStart w:id="436" w:name="_Toc351203642"/>
      <w:r>
        <w:rPr>
          <w:rFonts w:hint="eastAsia" w:ascii="宋体" w:hAnsi="宋体" w:eastAsia="宋体" w:cs="宋体"/>
          <w:color w:val="auto"/>
          <w:sz w:val="24"/>
          <w:szCs w:val="24"/>
        </w:rPr>
        <w:t xml:space="preserve">1</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Start w:id="437" w:name="_Toc296347192"/>
      <w:r/>
      <w:bookmarkStart w:id="438" w:name="_Toc297120493"/>
      <w:r/>
      <w:bookmarkStart w:id="439" w:name="_Toc297216199"/>
      <w:r/>
      <w:bookmarkStart w:id="440" w:name="_Toc296503193"/>
      <w:r/>
      <w:bookmarkStart w:id="441" w:name="_Toc297048379"/>
      <w:r/>
      <w:bookmarkStart w:id="442" w:name="_Toc300934989"/>
      <w:r/>
      <w:bookmarkStart w:id="443" w:name="_Toc312677499"/>
      <w:r/>
      <w:bookmarkStart w:id="444" w:name="_Toc296891021"/>
      <w:r/>
      <w:bookmarkStart w:id="445" w:name="_Toc296346694"/>
      <w:r/>
      <w:bookmarkStart w:id="446" w:name="_Toc296944532"/>
      <w:r/>
      <w:bookmarkStart w:id="447" w:name="_Toc303539146"/>
      <w:r/>
      <w:bookmarkStart w:id="448" w:name="_Toc292559398"/>
      <w:r/>
      <w:bookmarkStart w:id="449" w:name="_Toc292559903"/>
      <w:r/>
      <w:bookmarkStart w:id="450" w:name="_Toc296891233"/>
      <w:r/>
      <w:bookmarkStart w:id="451" w:name="_Toc312678025"/>
      <w:r/>
      <w:bookmarkStart w:id="452" w:name="_Toc297123540"/>
      <w:r/>
      <w:bookmarkStart w:id="453" w:name="_Toc304295566"/>
      <w:r/>
      <w:bookmarkStart w:id="454" w:name="_Toc267251439"/>
      <w:r/>
      <w:bookmarkStart w:id="455" w:name="_Toc267251435"/>
      <w:r/>
      <w:bookmarkStart w:id="456" w:name="_Toc267251437"/>
      <w:r/>
      <w:bookmarkStart w:id="457" w:name="_Toc267251433"/>
      <w:r/>
      <w:bookmarkStart w:id="458" w:name="_Toc267251440"/>
      <w:r/>
      <w:bookmarkStart w:id="459" w:name="_Toc267251441"/>
      <w:r/>
      <w:bookmarkStart w:id="460" w:name="_Toc267251442"/>
      <w:r>
        <w:rPr>
          <w:rFonts w:hint="eastAsia" w:ascii="宋体" w:hAnsi="宋体" w:eastAsia="宋体" w:cs="宋体"/>
          <w:color w:val="auto"/>
          <w:sz w:val="24"/>
          <w:szCs w:val="24"/>
        </w:rPr>
        <w:t xml:space="preserve">0、变更</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461" w:name="_Toc297216200"/>
      <w:r/>
      <w:bookmarkStart w:id="462" w:name="_Toc292559904"/>
      <w:r/>
      <w:bookmarkStart w:id="463" w:name="_Toc296891234"/>
      <w:r/>
      <w:bookmarkStart w:id="464" w:name="_Toc296503194"/>
      <w:r/>
      <w:bookmarkStart w:id="465" w:name="_Toc296346695"/>
      <w:r/>
      <w:bookmarkStart w:id="466" w:name="_Toc312678026"/>
      <w:r/>
      <w:bookmarkStart w:id="467" w:name="_Toc296944533"/>
      <w:r/>
      <w:bookmarkStart w:id="468" w:name="_Toc296347193"/>
      <w:r/>
      <w:bookmarkStart w:id="469" w:name="_Toc304295567"/>
      <w:r/>
      <w:bookmarkStart w:id="470" w:name="_Toc296891022"/>
      <w:r/>
      <w:bookmarkStart w:id="471" w:name="_Toc292559399"/>
      <w:r/>
      <w:bookmarkStart w:id="472" w:name="_Toc300934990"/>
      <w:r/>
      <w:bookmarkStart w:id="473" w:name="_Toc297048380"/>
      <w:r/>
      <w:bookmarkStart w:id="474" w:name="_Toc297120494"/>
      <w:r/>
      <w:bookmarkStart w:id="475" w:name="_Toc303539147"/>
      <w:r/>
      <w:bookmarkStart w:id="476" w:name="_Toc297123541"/>
      <w:r/>
      <w:bookmarkStart w:id="477" w:name="_Toc312677500"/>
      <w:r>
        <w:rPr>
          <w:rFonts w:hint="eastAsia" w:ascii="宋体" w:hAnsi="宋体" w:eastAsia="宋体" w:cs="宋体"/>
          <w:color w:val="auto"/>
          <w:sz w:val="24"/>
        </w:rPr>
        <w:t xml:space="preserve">0.1变更的范围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关于变更的范围的约定：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 变更估价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 变更估价原则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关于变更估价的约定：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原则3、本工程发生的变更及现场签证等内容每十五天进行确认，其签证款项待结算时一起支付。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相关细则：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⑶因分部分项工程量清单漏项或非承包人原因的工程变更，造成增加新的工程量清单项目，其对应的综合单价按下列方法确定：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①合同中已有适用的综合单价，按合同中已有的综合单价确定；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②合同中有类似的综合单价，参照类似的综合单价确定；</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（指其采用的材料、施工工艺和方法基本相似，不因此增加关键线路上工程的施工时间，仅调整材料价差，其余不调整）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③合同中没有适用或类似的综合单价，按以下方法确定综合单价：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⑸承包人施工及生活用水用电费，根据其耗电用量及供水供电部门所收取的标准，加上公共分摊的部分，由发包人向承包人收取。</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⑹因不可抗力事件导致的费用，发、承包双方应按以下原则分别承担并调整工程价款：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②承包人人员伤亡由其所在单位负责，并承担相应费用，与发包人无关；</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③承包人的施工机械设备的损坏及停工损失，由承包人承担；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④停工期间，承包人应发包人要求留在施工现场的必要的管理人员及保卫人员的工费用，由发包人承担；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Start w:id="478" w:name="_Toc296891237"/>
      <w:r/>
      <w:bookmarkStart w:id="479" w:name="_Toc297120497"/>
      <w:r/>
      <w:bookmarkStart w:id="480" w:name="_Toc292559402"/>
      <w:r/>
      <w:bookmarkStart w:id="481" w:name="_Toc296346698"/>
      <w:r/>
      <w:bookmarkStart w:id="482" w:name="_Toc296944536"/>
      <w:r/>
      <w:bookmarkStart w:id="483" w:name="_Toc297048383"/>
      <w:r/>
      <w:bookmarkStart w:id="484" w:name="_Toc296503197"/>
      <w:r/>
      <w:bookmarkStart w:id="485" w:name="_Toc292559907"/>
      <w:r/>
      <w:bookmarkStart w:id="486" w:name="_Toc300934993"/>
      <w:r/>
      <w:bookmarkStart w:id="487" w:name="_Toc297123544"/>
      <w:r/>
      <w:bookmarkStart w:id="488" w:name="_Toc297216203"/>
      <w:r/>
      <w:bookmarkStart w:id="489" w:name="_Toc303539150"/>
      <w:r/>
      <w:bookmarkStart w:id="490" w:name="_Toc296891025"/>
      <w:r/>
      <w:bookmarkStart w:id="491" w:name="_Toc296347196"/>
      <w:r/>
      <w:bookmarkStart w:id="492" w:name="_Toc312678029"/>
      <w:r/>
      <w:bookmarkStart w:id="493" w:name="_Toc304295570"/>
      <w:r/>
      <w:bookmarkStart w:id="494" w:name="_Toc312677503"/>
      <w:r>
        <w:rPr>
          <w:rFonts w:hint="eastAsia" w:ascii="宋体" w:hAnsi="宋体" w:eastAsia="宋体" w:cs="宋体"/>
          <w:color w:val="auto"/>
          <w:sz w:val="24"/>
          <w:highlight w:val="none"/>
        </w:rPr>
        <w:t xml:space="preserve">0.3承</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Start w:id="495" w:name="_Toc292559408"/>
      <w:r/>
      <w:bookmarkStart w:id="496" w:name="_Toc303539151"/>
      <w:r/>
      <w:bookmarkStart w:id="497" w:name="_Toc296891031"/>
      <w:r/>
      <w:bookmarkStart w:id="498" w:name="_Toc297123545"/>
      <w:r/>
      <w:bookmarkStart w:id="499" w:name="_Toc296891243"/>
      <w:r/>
      <w:bookmarkStart w:id="500" w:name="_Toc296503203"/>
      <w:r/>
      <w:bookmarkStart w:id="501" w:name="_Toc296347202"/>
      <w:r/>
      <w:bookmarkStart w:id="502" w:name="_Toc300934994"/>
      <w:r/>
      <w:bookmarkStart w:id="503" w:name="_Toc296944542"/>
      <w:r/>
      <w:bookmarkStart w:id="504" w:name="_Toc297048389"/>
      <w:r/>
      <w:bookmarkStart w:id="505" w:name="_Toc292559913"/>
      <w:r/>
      <w:bookmarkStart w:id="506" w:name="_Toc297216204"/>
      <w:r/>
      <w:bookmarkStart w:id="507" w:name="_Toc297120503"/>
      <w:r/>
      <w:bookmarkStart w:id="508" w:name="_Toc296346704"/>
      <w:r>
        <w:rPr>
          <w:rFonts w:hint="eastAsia" w:ascii="宋体" w:hAnsi="宋体" w:eastAsia="宋体" w:cs="宋体"/>
          <w:color w:val="auto"/>
          <w:sz w:val="24"/>
          <w:highlight w:val="none"/>
        </w:rPr>
        <w:t xml:space="preserve">包人的合理化建议</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监理人审查承包人合理化建议的期限：收到承包人提交的合理化建议后7日内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发包人审批承包人合理化建议的期限：收到监理人报送的合理化建议后7日内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w:t>
      </w:r>
      <w:bookmarkStart w:id="509" w:name="_Toc297048390"/>
      <w:r/>
      <w:bookmarkStart w:id="510" w:name="_Toc296891244"/>
      <w:r/>
      <w:bookmarkStart w:id="511" w:name="_Toc312677504"/>
      <w:r/>
      <w:bookmarkStart w:id="512" w:name="_Toc303539152"/>
      <w:r/>
      <w:bookmarkStart w:id="513" w:name="_Toc296503204"/>
      <w:r/>
      <w:bookmarkStart w:id="514" w:name="_Toc296891032"/>
      <w:r/>
      <w:bookmarkStart w:id="515" w:name="_Toc292559914"/>
      <w:r/>
      <w:bookmarkStart w:id="516" w:name="_Toc300934995"/>
      <w:r/>
      <w:bookmarkStart w:id="517" w:name="_Toc292559409"/>
      <w:r/>
      <w:bookmarkStart w:id="518" w:name="_Toc297123546"/>
      <w:r/>
      <w:bookmarkStart w:id="519" w:name="_Toc318581175"/>
      <w:r/>
      <w:bookmarkStart w:id="520" w:name="_Toc304295571"/>
      <w:r/>
      <w:bookmarkStart w:id="521" w:name="_Toc297120504"/>
      <w:r/>
      <w:bookmarkStart w:id="522" w:name="_Toc296944543"/>
      <w:r/>
      <w:bookmarkStart w:id="523" w:name="_Toc297216205"/>
      <w:r/>
      <w:bookmarkStart w:id="524" w:name="_Toc312678030"/>
      <w:r/>
      <w:bookmarkStart w:id="525" w:name="_Toc296346705"/>
      <w:r/>
      <w:bookmarkStart w:id="526" w:name="_Toc296347203"/>
      <w:r>
        <w:rPr>
          <w:rFonts w:hint="eastAsia" w:ascii="宋体" w:hAnsi="宋体" w:eastAsia="宋体" w:cs="宋体"/>
          <w:color w:val="auto"/>
          <w:sz w:val="24"/>
        </w:rPr>
        <w:t xml:space="preserve">包人提出的合理化建议降低了合同价格或者提高了工程经济效益的奖励的方法和金额为：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527" w:name="_Toc292559404"/>
      <w:r/>
      <w:bookmarkStart w:id="528" w:name="_Toc297123548"/>
      <w:r/>
      <w:bookmarkStart w:id="529" w:name="_Toc296944538"/>
      <w:r/>
      <w:bookmarkStart w:id="530" w:name="_Toc300934997"/>
      <w:r/>
      <w:bookmarkStart w:id="531" w:name="_Toc304295574"/>
      <w:r/>
      <w:bookmarkStart w:id="532" w:name="_Toc297120499"/>
      <w:r/>
      <w:bookmarkStart w:id="533" w:name="_Toc312678033"/>
      <w:r/>
      <w:bookmarkStart w:id="534" w:name="_Toc296346700"/>
      <w:r/>
      <w:bookmarkStart w:id="535" w:name="_Toc296891239"/>
      <w:r/>
      <w:bookmarkStart w:id="536" w:name="_Toc297216207"/>
      <w:r/>
      <w:bookmarkStart w:id="537" w:name="_Toc292559909"/>
      <w:r/>
      <w:bookmarkStart w:id="538" w:name="_Toc303539154"/>
      <w:r/>
      <w:bookmarkStart w:id="539" w:name="_Toc296891027"/>
      <w:r/>
      <w:bookmarkStart w:id="540" w:name="_Toc312677507"/>
      <w:r/>
      <w:bookmarkStart w:id="541" w:name="_Toc297048385"/>
      <w:r/>
      <w:bookmarkStart w:id="542" w:name="_Toc296503199"/>
      <w:r/>
      <w:bookmarkStart w:id="543" w:name="_Toc296347198"/>
      <w:r>
        <w:rPr>
          <w:rFonts w:hint="eastAsia" w:ascii="宋体" w:hAnsi="宋体" w:eastAsia="宋体" w:cs="宋体"/>
          <w:color w:val="auto"/>
          <w:sz w:val="24"/>
        </w:rPr>
        <w:t xml:space="preserve">0.4暂估价</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暂</w:t>
      </w:r>
      <w:bookmarkStart w:id="544" w:name="_Toc312677508"/>
      <w:r/>
      <w:bookmarkStart w:id="545" w:name="_Toc318581176"/>
      <w:r/>
      <w:bookmarkStart w:id="546" w:name="_Toc312678034"/>
      <w:r>
        <w:rPr>
          <w:rFonts w:hint="eastAsia" w:ascii="宋体" w:hAnsi="宋体" w:eastAsia="宋体" w:cs="宋体"/>
          <w:color w:val="auto"/>
          <w:sz w:val="24"/>
        </w:rPr>
        <w:t xml:space="preserve">估价材料和工程设备的明细详见：</w:t>
      </w:r>
      <w:r>
        <w:rPr>
          <w:rFonts w:hint="eastAsia" w:ascii="宋体" w:hAnsi="宋体" w:eastAsia="宋体" w:cs="宋体"/>
          <w:color w:val="auto"/>
          <w:sz w:val="24"/>
          <w:u w:val="single"/>
        </w:rPr>
        <w:t xml:space="preserve">《暂估价一览表》。</w:t>
      </w:r>
      <w:bookmarkEnd w:id="544"/>
      <w:r/>
      <w:bookmarkEnd w:id="545"/>
      <w:r/>
      <w:bookmarkEnd w:id="546"/>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bookmarkStart w:id="547" w:name="_Toc318581177"/>
      <w:r/>
      <w:bookmarkStart w:id="548" w:name="_Toc312677509"/>
      <w:r/>
      <w:bookmarkStart w:id="549" w:name="_Toc312678035"/>
      <w:r>
        <w:rPr>
          <w:rFonts w:hint="eastAsia" w:ascii="宋体" w:hAnsi="宋体" w:eastAsia="宋体" w:cs="宋体"/>
          <w:color w:val="auto"/>
          <w:sz w:val="24"/>
        </w:rPr>
        <w:t xml:space="preserve">0.4.1 依法必须招标的暂估价项目：</w:t>
      </w:r>
      <w:r>
        <w:rPr>
          <w:rFonts w:hint="eastAsia" w:ascii="宋体" w:hAnsi="宋体" w:eastAsia="宋体" w:cs="宋体"/>
          <w:color w:val="auto"/>
          <w:sz w:val="24"/>
          <w:u w:val="single"/>
        </w:rPr>
        <w:t xml:space="preserve">采用第2种方式 </w:t>
      </w:r>
      <w:bookmarkEnd w:id="547"/>
      <w:r/>
      <w:bookmarkEnd w:id="548"/>
      <w:r/>
      <w:bookmarkEnd w:id="54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10.5 暂列金额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合同当事人关于暂列金额使用的约定：</w:t>
      </w:r>
      <w:r>
        <w:rPr>
          <w:rFonts w:hint="eastAsia" w:ascii="宋体" w:hAnsi="宋体" w:eastAsia="宋体" w:cs="宋体"/>
          <w:color w:val="auto"/>
          <w:sz w:val="24"/>
          <w:u w:val="single"/>
        </w:rPr>
        <w:t xml:space="preserve">由发包人结合工程具体情况使用 </w:t>
      </w:r>
      <w:r>
        <w:rPr>
          <w:rFonts w:hint="eastAsia" w:ascii="宋体" w:hAnsi="宋体" w:eastAsia="宋体" w:cs="宋体"/>
          <w:color w:val="auto"/>
          <w:sz w:val="24"/>
        </w:rPr>
        <w:t xml:space="preserve">。</w:t>
      </w:r>
      <w:r/>
    </w:p>
    <w:p>
      <w:pPr>
        <w:pStyle w:val="703"/>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11、价格调整</w:t>
      </w:r>
      <w:r/>
    </w:p>
    <w:p>
      <w:pPr>
        <w:ind w:firstLine="480"/>
        <w:spacing w:line="360" w:lineRule="auto"/>
        <w:rPr>
          <w:rFonts w:hint="eastAsia" w:ascii="宋体" w:hAnsi="宋体" w:eastAsia="宋体" w:cs="宋体"/>
          <w:color w:val="auto"/>
          <w:sz w:val="24"/>
        </w:rPr>
      </w:pPr>
      <w:r/>
      <w:bookmarkStart w:id="550" w:name="_Toc304295577"/>
      <w:r/>
      <w:bookmarkStart w:id="551" w:name="_Toc303539157"/>
      <w:r/>
      <w:bookmarkStart w:id="552" w:name="_Toc292559911"/>
      <w:r/>
      <w:bookmarkStart w:id="553" w:name="_Toc297216209"/>
      <w:r/>
      <w:bookmarkStart w:id="554" w:name="_Toc296891241"/>
      <w:r/>
      <w:bookmarkStart w:id="555" w:name="_Toc312678039"/>
      <w:r/>
      <w:bookmarkStart w:id="556" w:name="_Toc297123550"/>
      <w:r/>
      <w:bookmarkStart w:id="557" w:name="_Toc296944540"/>
      <w:r/>
      <w:bookmarkStart w:id="558" w:name="_Toc296891029"/>
      <w:r/>
      <w:bookmarkStart w:id="559" w:name="_Toc296347200"/>
      <w:r/>
      <w:bookmarkStart w:id="560" w:name="_Toc297048387"/>
      <w:r/>
      <w:bookmarkStart w:id="561" w:name="_Toc297120501"/>
      <w:r/>
      <w:bookmarkStart w:id="562" w:name="_Toc296503201"/>
      <w:r/>
      <w:bookmarkStart w:id="563" w:name="_Toc300935000"/>
      <w:r/>
      <w:bookmarkStart w:id="564" w:name="_Toc292559406"/>
      <w:r/>
      <w:bookmarkStart w:id="565" w:name="_Toc296346702"/>
      <w:r>
        <w:rPr>
          <w:rFonts w:hint="eastAsia" w:ascii="宋体" w:hAnsi="宋体" w:eastAsia="宋体" w:cs="宋体"/>
          <w:color w:val="auto"/>
          <w:sz w:val="24"/>
        </w:rPr>
        <w:t xml:space="preserve">11.1 市场价格波动引起的调整</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市场价格波动是否调整合同价格的约定：</w:t>
      </w:r>
      <w:r>
        <w:rPr>
          <w:rFonts w:hint="eastAsia" w:ascii="宋体" w:hAnsi="宋体" w:eastAsia="宋体" w:cs="宋体"/>
          <w:color w:val="auto"/>
          <w:sz w:val="24"/>
          <w:u w:val="single"/>
        </w:rPr>
        <w:t xml:space="preserve">  不调整  </w:t>
      </w:r>
      <w:r>
        <w:rPr>
          <w:rFonts w:hint="eastAsia" w:ascii="宋体" w:hAnsi="宋体" w:eastAsia="宋体" w:cs="宋体"/>
          <w:color w:val="auto"/>
          <w:sz w:val="24"/>
        </w:rPr>
        <w:t xml:space="preserve">。</w:t>
      </w:r>
      <w:bookmarkEnd w:id="454"/>
      <w:r/>
      <w:bookmarkEnd w:id="455"/>
      <w:r/>
      <w:bookmarkEnd w:id="456"/>
      <w:r/>
      <w:bookmarkEnd w:id="457"/>
      <w:r/>
      <w:bookmarkEnd w:id="458"/>
      <w:r/>
      <w:bookmarkEnd w:id="459"/>
      <w:r/>
      <w:r/>
    </w:p>
    <w:p>
      <w:pPr>
        <w:pStyle w:val="703"/>
        <w:ind w:firstLine="482"/>
        <w:spacing w:before="0" w:after="0" w:line="360" w:lineRule="auto"/>
        <w:rPr>
          <w:rFonts w:hint="eastAsia" w:ascii="宋体" w:hAnsi="宋体" w:eastAsia="宋体" w:cs="宋体"/>
          <w:color w:val="auto"/>
          <w:sz w:val="24"/>
          <w:szCs w:val="24"/>
        </w:rPr>
      </w:pPr>
      <w:r/>
      <w:bookmarkStart w:id="566" w:name="_Toc296347204"/>
      <w:r/>
      <w:bookmarkStart w:id="567" w:name="_Toc296891033"/>
      <w:r/>
      <w:bookmarkStart w:id="568" w:name="_Toc296944544"/>
      <w:r/>
      <w:bookmarkStart w:id="569" w:name="_Toc296346706"/>
      <w:r/>
      <w:bookmarkStart w:id="570" w:name="_Toc296891245"/>
      <w:r/>
      <w:bookmarkStart w:id="571" w:name="_Toc296503205"/>
      <w:r/>
      <w:bookmarkStart w:id="572" w:name="_Toc292559915"/>
      <w:r/>
      <w:bookmarkStart w:id="573" w:name="_Toc292559410"/>
      <w:r/>
      <w:bookmarkStart w:id="574" w:name="_Toc297120505"/>
      <w:r/>
      <w:bookmarkStart w:id="575" w:name="_Toc297048391"/>
      <w:r/>
      <w:bookmarkStart w:id="576" w:name="_Toc351203644"/>
      <w:r/>
      <w:bookmarkStart w:id="577" w:name="_Toc304295579"/>
      <w:r/>
      <w:bookmarkStart w:id="578" w:name="_Toc297123552"/>
      <w:r/>
      <w:bookmarkStart w:id="579" w:name="_Toc312678040"/>
      <w:r/>
      <w:bookmarkStart w:id="580" w:name="_Toc297216211"/>
      <w:r/>
      <w:bookmarkStart w:id="581" w:name="_Toc300935002"/>
      <w:r/>
      <w:bookmarkStart w:id="582" w:name="_Toc303539159"/>
      <w:r>
        <w:rPr>
          <w:rFonts w:hint="eastAsia" w:ascii="宋体" w:hAnsi="宋体" w:eastAsia="宋体" w:cs="宋体"/>
          <w:color w:val="auto"/>
          <w:sz w:val="24"/>
          <w:szCs w:val="24"/>
        </w:rPr>
        <w:t xml:space="preserve">12</w:t>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eastAsia="宋体" w:cs="宋体"/>
          <w:color w:val="auto"/>
          <w:sz w:val="24"/>
          <w:szCs w:val="24"/>
        </w:rPr>
        <w:t xml:space="preserve">、合同价格、计量与支付</w:t>
      </w:r>
      <w:bookmarkEnd w:id="576"/>
      <w:r/>
      <w:bookmarkEnd w:id="577"/>
      <w:r/>
      <w:bookmarkEnd w:id="578"/>
      <w:r/>
      <w:bookmarkEnd w:id="579"/>
      <w:r/>
      <w:bookmarkEnd w:id="580"/>
      <w:r/>
      <w:bookmarkEnd w:id="581"/>
      <w:r/>
      <w:bookmarkEnd w:id="582"/>
      <w:r/>
      <w:r/>
    </w:p>
    <w:p>
      <w:pPr>
        <w:ind w:firstLine="480"/>
        <w:spacing w:line="360" w:lineRule="auto"/>
        <w:rPr>
          <w:rFonts w:hint="eastAsia" w:ascii="宋体" w:hAnsi="宋体" w:eastAsia="宋体" w:cs="宋体"/>
          <w:color w:val="auto"/>
          <w:sz w:val="24"/>
        </w:rPr>
      </w:pPr>
      <w:r/>
      <w:bookmarkStart w:id="583" w:name="_Toc292559411"/>
      <w:r/>
      <w:bookmarkStart w:id="584" w:name="_Toc267251461"/>
      <w:r/>
      <w:bookmarkStart w:id="585" w:name="_Toc292559916"/>
      <w:r/>
      <w:bookmarkStart w:id="586" w:name="_Toc296891246"/>
      <w:r/>
      <w:bookmarkStart w:id="587" w:name="_Toc297120506"/>
      <w:r/>
      <w:bookmarkStart w:id="588" w:name="_Toc296346707"/>
      <w:r/>
      <w:bookmarkStart w:id="589" w:name="_Toc296944545"/>
      <w:r/>
      <w:bookmarkStart w:id="590" w:name="_Toc296891034"/>
      <w:r/>
      <w:bookmarkStart w:id="591" w:name="_Toc297048392"/>
      <w:r/>
      <w:bookmarkStart w:id="592" w:name="_Toc296347205"/>
      <w:r/>
      <w:bookmarkStart w:id="593" w:name="_Toc296503206"/>
      <w:r/>
      <w:bookmarkStart w:id="594" w:name="_Toc297216212"/>
      <w:r/>
      <w:bookmarkStart w:id="595" w:name="_Toc300935003"/>
      <w:r/>
      <w:bookmarkStart w:id="596" w:name="_Toc304295580"/>
      <w:r/>
      <w:bookmarkStart w:id="597" w:name="_Toc312678041"/>
      <w:r/>
      <w:bookmarkStart w:id="598" w:name="_Toc303539160"/>
      <w:r/>
      <w:bookmarkStart w:id="599" w:name="_Toc297123553"/>
      <w:r>
        <w:rPr>
          <w:rFonts w:hint="eastAsia" w:ascii="宋体" w:hAnsi="宋体" w:eastAsia="宋体" w:cs="宋体"/>
          <w:color w:val="auto"/>
          <w:sz w:val="24"/>
        </w:rPr>
        <w:t xml:space="preserve">12.1 合</w:t>
      </w:r>
      <w:bookmarkEnd w:id="583"/>
      <w:r/>
      <w:bookmarkEnd w:id="584"/>
      <w:r/>
      <w:bookmarkEnd w:id="585"/>
      <w:r>
        <w:rPr>
          <w:rFonts w:hint="eastAsia" w:ascii="宋体" w:hAnsi="宋体" w:eastAsia="宋体" w:cs="宋体"/>
          <w:color w:val="auto"/>
          <w:sz w:val="24"/>
        </w:rPr>
        <w:t xml:space="preserve">同价</w:t>
      </w:r>
      <w:bookmarkEnd w:id="586"/>
      <w:r/>
      <w:bookmarkEnd w:id="587"/>
      <w:r/>
      <w:bookmarkEnd w:id="588"/>
      <w:r/>
      <w:bookmarkEnd w:id="589"/>
      <w:r/>
      <w:bookmarkEnd w:id="590"/>
      <w:r/>
      <w:bookmarkEnd w:id="591"/>
      <w:r/>
      <w:bookmarkEnd w:id="592"/>
      <w:r/>
      <w:bookmarkEnd w:id="593"/>
      <w:r>
        <w:rPr>
          <w:rFonts w:hint="eastAsia" w:ascii="宋体" w:hAnsi="宋体" w:eastAsia="宋体" w:cs="宋体"/>
          <w:color w:val="auto"/>
          <w:sz w:val="24"/>
        </w:rPr>
        <w:t xml:space="preserve">格形式</w:t>
      </w:r>
      <w:bookmarkEnd w:id="594"/>
      <w:r/>
      <w:bookmarkEnd w:id="595"/>
      <w:r/>
      <w:bookmarkEnd w:id="596"/>
      <w:r/>
      <w:bookmarkEnd w:id="597"/>
      <w:r/>
      <w:bookmarkEnd w:id="598"/>
      <w:r/>
      <w:bookmarkEnd w:id="59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(1)、本工程采用</w:t>
      </w:r>
      <w:r>
        <w:rPr>
          <w:rFonts w:hint="eastAsia" w:ascii="宋体" w:hAnsi="宋体" w:eastAsia="宋体" w:cs="宋体"/>
          <w:b/>
          <w:color w:val="auto"/>
          <w:sz w:val="24"/>
        </w:rPr>
        <w:t xml:space="preserve">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综合单价包含的风险范围：</w:t>
      </w:r>
      <w:r>
        <w:rPr>
          <w:rFonts w:hint="eastAsia" w:ascii="宋体" w:hAnsi="宋体" w:eastAsia="宋体" w:cs="宋体"/>
          <w:color w:val="auto"/>
          <w:sz w:val="24"/>
          <w:u w:val="single"/>
        </w:rPr>
        <w:t xml:space="preserve">施工期间市场风险、政策风险。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风险费用的计算方法：</w:t>
      </w:r>
      <w:r>
        <w:rPr>
          <w:rFonts w:hint="eastAsia" w:ascii="宋体" w:hAnsi="宋体" w:eastAsia="宋体" w:cs="宋体"/>
          <w:color w:val="auto"/>
          <w:sz w:val="24"/>
          <w:u w:val="single"/>
        </w:rPr>
        <w:t xml:space="preserve">施工期间人工费、材料费、机械费及规费、税金的调整风险由供应商自行考虑。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风险范围以外合同价格的调整方法：</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本工程结算时按照苏建函价【2019】178号文执行，采用一般计税法结算。</w:t>
      </w:r>
      <w:r/>
    </w:p>
    <w:p>
      <w:pPr>
        <w:ind w:firstLine="480"/>
        <w:spacing w:line="360" w:lineRule="auto"/>
        <w:rPr>
          <w:rFonts w:hint="eastAsia" w:ascii="宋体" w:hAnsi="宋体" w:eastAsia="宋体" w:cs="宋体"/>
          <w:color w:val="auto"/>
          <w:sz w:val="24"/>
        </w:rPr>
      </w:pPr>
      <w:r/>
      <w:bookmarkStart w:id="600" w:name="_Toc304295581"/>
      <w:r/>
      <w:bookmarkStart w:id="601" w:name="_Toc300935004"/>
      <w:r/>
      <w:bookmarkStart w:id="602" w:name="_Toc303539161"/>
      <w:r/>
      <w:bookmarkStart w:id="603" w:name="_Toc297216213"/>
      <w:r/>
      <w:bookmarkStart w:id="604" w:name="_Toc297123554"/>
      <w:r/>
      <w:bookmarkStart w:id="605" w:name="_Toc312678042"/>
      <w:r/>
      <w:bookmarkStart w:id="606" w:name="_Toc292559917"/>
      <w:r/>
      <w:bookmarkStart w:id="607" w:name="_Toc296347206"/>
      <w:r/>
      <w:bookmarkStart w:id="608" w:name="_Toc296503207"/>
      <w:r/>
      <w:bookmarkStart w:id="609" w:name="_Toc297120507"/>
      <w:r/>
      <w:bookmarkStart w:id="610" w:name="_Toc296944546"/>
      <w:r/>
      <w:bookmarkStart w:id="611" w:name="_Toc292559412"/>
      <w:r/>
      <w:bookmarkStart w:id="612" w:name="_Toc297048393"/>
      <w:r/>
      <w:bookmarkStart w:id="613" w:name="_Toc296891035"/>
      <w:r/>
      <w:bookmarkStart w:id="614" w:name="_Toc296891247"/>
      <w:r/>
      <w:bookmarkStart w:id="615" w:name="_Toc296346708"/>
      <w:r>
        <w:rPr>
          <w:rFonts w:hint="eastAsia" w:ascii="宋体" w:hAnsi="宋体" w:eastAsia="宋体" w:cs="宋体"/>
          <w:color w:val="auto"/>
          <w:sz w:val="24"/>
        </w:rPr>
        <w:t xml:space="preserve">本工程采用“固定单价合同”。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 预付款</w:t>
      </w:r>
      <w:bookmarkEnd w:id="600"/>
      <w:r/>
      <w:bookmarkEnd w:id="601"/>
      <w:r/>
      <w:bookmarkEnd w:id="602"/>
      <w:r/>
      <w:bookmarkEnd w:id="603"/>
      <w:r/>
      <w:bookmarkEnd w:id="604"/>
      <w:r/>
      <w:bookmarkEnd w:id="60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12.2.1 预付款的支付</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发包人向承包人预付工程款的时间和金额或占合同价款总额的比例：</w:t>
      </w:r>
      <w:r>
        <w:rPr>
          <w:rFonts w:hint="eastAsia" w:ascii="宋体" w:hAnsi="宋体" w:eastAsia="宋体" w:cs="宋体"/>
          <w:color w:val="auto"/>
          <w:sz w:val="24"/>
          <w:u w:val="single"/>
        </w:rPr>
        <w:t xml:space="preserve">详见本合同专用条款第12.4条  </w:t>
      </w:r>
      <w:bookmarkEnd w:id="606"/>
      <w:r/>
      <w:bookmarkEnd w:id="607"/>
      <w:r/>
      <w:bookmarkEnd w:id="608"/>
      <w:r/>
      <w:bookmarkEnd w:id="609"/>
      <w:r/>
      <w:bookmarkEnd w:id="610"/>
      <w:r/>
      <w:bookmarkEnd w:id="611"/>
      <w:r/>
      <w:bookmarkEnd w:id="612"/>
      <w:r/>
      <w:bookmarkEnd w:id="613"/>
      <w:r/>
      <w:bookmarkEnd w:id="614"/>
      <w:r/>
      <w:bookmarkEnd w:id="61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 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12.3.1 计量原则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工程量计算规则：</w:t>
      </w:r>
      <w:r>
        <w:rPr>
          <w:rFonts w:hint="eastAsia" w:ascii="宋体" w:hAnsi="宋体" w:eastAsia="宋体" w:cs="宋体"/>
          <w:color w:val="auto"/>
          <w:sz w:val="24"/>
          <w:u w:val="single"/>
        </w:rPr>
        <w:t xml:space="preserve">执行《建设工程工程量清单计价规范》GB50500-2013清单计算规则。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12.3.2 计量周期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关于计量周期的约定：</w:t>
      </w:r>
      <w:r>
        <w:rPr>
          <w:rFonts w:hint="eastAsia" w:ascii="宋体" w:hAnsi="宋体" w:eastAsia="宋体" w:cs="宋体"/>
          <w:color w:val="auto"/>
          <w:sz w:val="24"/>
          <w:u w:val="single"/>
        </w:rPr>
        <w:t xml:space="preserve">  按月计量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12.3.3 单价合同的计量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关于单价合同计量的约定：</w:t>
      </w:r>
      <w:r>
        <w:rPr>
          <w:rFonts w:hint="eastAsia" w:ascii="宋体" w:hAnsi="宋体" w:eastAsia="宋体" w:cs="宋体"/>
          <w:color w:val="auto"/>
          <w:sz w:val="24"/>
          <w:u w:val="single"/>
        </w:rPr>
        <w:t xml:space="preserve">  工程量按实计量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12.3.4 总价合同的计量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关于总价合同计量的约定：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12.3.5总价合同采用支付分解表计量支付的，是否适用第12.3.4 项〔总价合同的计量〕约定进行计量：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12.3.6 其他价格形式合同的计量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其他价格形式的计量方式和程序：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 工程进度款支付</w:t>
      </w:r>
      <w:r/>
    </w:p>
    <w:p>
      <w:pPr>
        <w:ind w:firstLine="480"/>
        <w:spacing w:line="360" w:lineRule="auto"/>
        <w:rPr>
          <w:rFonts w:hint="eastAsia" w:ascii="宋体" w:hAnsi="宋体" w:eastAsia="宋体" w:cs="宋体"/>
          <w:color w:val="auto"/>
          <w:sz w:val="24"/>
        </w:rPr>
      </w:pPr>
      <w:r/>
      <w:bookmarkStart w:id="616" w:name="_Toc297216215"/>
      <w:r/>
      <w:bookmarkStart w:id="617" w:name="_Toc297048397"/>
      <w:r/>
      <w:bookmarkStart w:id="618" w:name="_Toc296944550"/>
      <w:r/>
      <w:bookmarkStart w:id="619" w:name="_Toc297120511"/>
      <w:r/>
      <w:bookmarkStart w:id="620" w:name="_Toc296346712"/>
      <w:r/>
      <w:bookmarkStart w:id="621" w:name="_Toc296347210"/>
      <w:r/>
      <w:bookmarkStart w:id="622" w:name="_Toc292559921"/>
      <w:r/>
      <w:bookmarkStart w:id="623" w:name="_Toc300935006"/>
      <w:r/>
      <w:bookmarkStart w:id="624" w:name="_Toc296891251"/>
      <w:r/>
      <w:bookmarkStart w:id="625" w:name="_Toc292559416"/>
      <w:r/>
      <w:bookmarkStart w:id="626" w:name="_Toc303539163"/>
      <w:r/>
      <w:bookmarkStart w:id="627" w:name="_Toc296503211"/>
      <w:r/>
      <w:bookmarkStart w:id="628" w:name="_Toc297123556"/>
      <w:r/>
      <w:bookmarkStart w:id="629" w:name="_Toc296891039"/>
      <w:r>
        <w:rPr>
          <w:rFonts w:hint="eastAsia" w:ascii="宋体" w:hAnsi="宋体" w:eastAsia="宋体" w:cs="宋体"/>
          <w:color w:val="auto"/>
          <w:sz w:val="24"/>
        </w:rPr>
        <w:t xml:space="preserve">12.4.1 付款周期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双方约定的工程款（进度款）支付的方式和时间：</w:t>
      </w:r>
      <w:r/>
    </w:p>
    <w:p>
      <w:pPr>
        <w:pStyle w:val="716"/>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本工程无预付款，工程完工并验收合格后付至合同价款的80%，工程结算审计完成后付至审计价款的97%，余款作为质保金，待缺陷责任期满后无质量问题付清余款（无息）。</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每次支付工程款时，承包人必须提供符合税法的等额正规发票，否则延迟付款的责任由承包人自行承担。发包人收到发票后，将资金支付到约定的承包人账户。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12.4.2 进度付款申请单的编制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关于进度付款申请单编制的约定：</w:t>
      </w:r>
      <w:r>
        <w:rPr>
          <w:rFonts w:hint="eastAsia" w:ascii="宋体" w:hAnsi="宋体" w:eastAsia="宋体" w:cs="宋体"/>
          <w:color w:val="auto"/>
          <w:sz w:val="24"/>
          <w:highlight w:val="none"/>
          <w:u w:val="single"/>
        </w:rPr>
        <w:t xml:space="preserve"> 按发包人规定的工作流程及要求执</w:t>
      </w:r>
      <w:r>
        <w:rPr>
          <w:rFonts w:hint="eastAsia" w:ascii="宋体" w:hAnsi="宋体" w:cs="宋体"/>
          <w:color w:val="auto"/>
          <w:sz w:val="24"/>
          <w:highlight w:val="none"/>
          <w:u w:val="single"/>
          <w:lang w:val="en-US" w:eastAsia="zh-CN"/>
        </w:rPr>
        <w:t xml:space="preserve">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rPr>
          <w:rFonts w:hint="eastAsia" w:ascii="宋体" w:hAnsi="宋体" w:eastAsia="宋体" w:cs="宋体"/>
          <w:color w:val="auto"/>
          <w:sz w:val="24"/>
          <w:highlight w:val="none"/>
        </w:rPr>
        <w:t xml:space="preserve">2.4.3 进度付款申请单的提交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（1）单价合同进度付款申请单提交的约定：</w:t>
      </w:r>
      <w:r>
        <w:rPr>
          <w:rFonts w:hint="eastAsia" w:ascii="宋体" w:hAnsi="宋体" w:eastAsia="宋体" w:cs="宋体"/>
          <w:color w:val="auto"/>
          <w:sz w:val="24"/>
          <w:highlight w:val="none"/>
          <w:u w:val="single"/>
        </w:rPr>
        <w:t xml:space="preserve">  按月提交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（3）其他价格形式合同进度付款申请单提</w:t>
      </w:r>
      <w:r>
        <w:rPr>
          <w:rFonts w:hint="eastAsia" w:ascii="宋体" w:hAnsi="宋体" w:eastAsia="宋体" w:cs="宋体"/>
          <w:color w:val="auto"/>
          <w:sz w:val="24"/>
        </w:rPr>
        <w:t xml:space="preserve">交的约定：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12.4.4 进度款审核和支付</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（1）监理人审查并报送发包人的期限：</w:t>
      </w:r>
      <w:r>
        <w:rPr>
          <w:rFonts w:hint="eastAsia" w:ascii="宋体" w:hAnsi="宋体" w:eastAsia="宋体" w:cs="宋体"/>
          <w:color w:val="auto"/>
          <w:sz w:val="24"/>
          <w:u w:val="single"/>
        </w:rPr>
        <w:t xml:space="preserve">在收到承包人进度付款申请单以及相关资料后7日内完成</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发包人完成审批并签发进度款支付证书的期限：</w:t>
      </w:r>
      <w:r>
        <w:rPr>
          <w:rFonts w:hint="eastAsia" w:ascii="宋体" w:hAnsi="宋体" w:eastAsia="宋体" w:cs="宋体"/>
          <w:color w:val="auto"/>
          <w:sz w:val="24"/>
          <w:u w:val="single"/>
        </w:rPr>
        <w:t xml:space="preserve">在收到监理人报送的进度付款申请单及相关资料后7日内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（2）发包人支付进度款的期限：</w:t>
      </w:r>
      <w:r>
        <w:rPr>
          <w:rFonts w:hint="eastAsia" w:ascii="宋体" w:hAnsi="宋体" w:eastAsia="宋体" w:cs="宋体"/>
          <w:color w:val="auto"/>
          <w:sz w:val="24"/>
          <w:u w:val="single"/>
        </w:rPr>
        <w:t xml:space="preserve">  在进度款支付证书签发后14天内完成支付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发包人逾期支付进度款的违约金的计算方式：</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 支付分解表的编制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1、总价合同支付分解表的编制与审批：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2、单价合同的总价项目支付分解表的编制与审批：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bookmarkEnd w:id="460"/>
      <w:r/>
      <w:r/>
    </w:p>
    <w:p>
      <w:pPr>
        <w:pStyle w:val="703"/>
        <w:ind w:firstLine="482"/>
        <w:spacing w:before="0" w:after="0" w:line="360" w:lineRule="auto"/>
        <w:rPr>
          <w:rFonts w:hint="eastAsia" w:ascii="宋体" w:hAnsi="宋体" w:eastAsia="宋体" w:cs="宋体"/>
          <w:color w:val="auto"/>
          <w:sz w:val="24"/>
          <w:szCs w:val="24"/>
        </w:rPr>
      </w:pPr>
      <w:r/>
      <w:bookmarkStart w:id="630" w:name="_Toc292559929"/>
      <w:r/>
      <w:bookmarkStart w:id="631" w:name="_Toc304295593"/>
      <w:r/>
      <w:bookmarkStart w:id="632" w:name="_Toc296503219"/>
      <w:r/>
      <w:bookmarkStart w:id="633" w:name="_Toc296347218"/>
      <w:r/>
      <w:bookmarkStart w:id="634" w:name="_Toc303539172"/>
      <w:r/>
      <w:bookmarkStart w:id="635" w:name="_Toc297216223"/>
      <w:r/>
      <w:bookmarkStart w:id="636" w:name="_Toc300935015"/>
      <w:r/>
      <w:bookmarkStart w:id="637" w:name="_Toc292559424"/>
      <w:r/>
      <w:bookmarkStart w:id="638" w:name="_Toc296891047"/>
      <w:r/>
      <w:bookmarkStart w:id="639" w:name="_Toc297123564"/>
      <w:r/>
      <w:bookmarkStart w:id="640" w:name="_Toc296944558"/>
      <w:r/>
      <w:bookmarkStart w:id="641" w:name="_Toc296346720"/>
      <w:r/>
      <w:bookmarkStart w:id="642" w:name="_Toc297120519"/>
      <w:r/>
      <w:bookmarkStart w:id="643" w:name="_Toc312678053"/>
      <w:r/>
      <w:bookmarkStart w:id="644" w:name="_Toc351203645"/>
      <w:r/>
      <w:bookmarkStart w:id="645" w:name="_Toc296891259"/>
      <w:r/>
      <w:bookmarkStart w:id="646" w:name="_Toc297048405"/>
      <w:r>
        <w:rPr>
          <w:rFonts w:hint="eastAsia" w:ascii="宋体" w:hAnsi="宋体" w:eastAsia="宋体" w:cs="宋体"/>
          <w:color w:val="auto"/>
          <w:sz w:val="24"/>
          <w:szCs w:val="24"/>
        </w:rPr>
        <w:t xml:space="preserve">13、验收和工程试车</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分部分项工程验收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13.1.1监理人不能按时进行验收时，应提前</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48  </w:t>
      </w:r>
      <w:r>
        <w:rPr>
          <w:rFonts w:hint="eastAsia" w:ascii="宋体" w:hAnsi="宋体" w:eastAsia="宋体" w:cs="宋体"/>
          <w:color w:val="auto"/>
          <w:sz w:val="24"/>
        </w:rPr>
        <w:t xml:space="preserve">小时。</w:t>
      </w:r>
      <w:r/>
    </w:p>
    <w:p>
      <w:pPr>
        <w:ind w:firstLine="480"/>
        <w:spacing w:line="360" w:lineRule="auto"/>
        <w:rPr>
          <w:rFonts w:hint="eastAsia" w:ascii="宋体" w:hAnsi="宋体" w:eastAsia="宋体" w:cs="宋体"/>
          <w:color w:val="auto"/>
          <w:sz w:val="24"/>
        </w:rPr>
      </w:pPr>
      <w:r/>
      <w:bookmarkStart w:id="647" w:name="_Toc292559933"/>
      <w:r/>
      <w:bookmarkStart w:id="648" w:name="_Toc297216224"/>
      <w:r/>
      <w:bookmarkStart w:id="649" w:name="_Toc312678056"/>
      <w:r/>
      <w:bookmarkStart w:id="650" w:name="_Toc303539173"/>
      <w:r/>
      <w:bookmarkStart w:id="651" w:name="_Toc296503223"/>
      <w:r/>
      <w:bookmarkStart w:id="652" w:name="_Toc296891051"/>
      <w:r/>
      <w:bookmarkStart w:id="653" w:name="_Toc296944562"/>
      <w:r/>
      <w:bookmarkStart w:id="654" w:name="_Toc300935016"/>
      <w:r/>
      <w:bookmarkStart w:id="655" w:name="_Toc292559428"/>
      <w:r/>
      <w:bookmarkStart w:id="656" w:name="_Toc304295596"/>
      <w:r/>
      <w:bookmarkStart w:id="657" w:name="_Toc297048409"/>
      <w:r/>
      <w:bookmarkStart w:id="658" w:name="_Toc296347222"/>
      <w:r/>
      <w:bookmarkStart w:id="659" w:name="_Toc297120523"/>
      <w:r/>
      <w:bookmarkStart w:id="660" w:name="_Toc296346724"/>
      <w:r/>
      <w:bookmarkStart w:id="661" w:name="_Toc296891263"/>
      <w:r/>
      <w:bookmarkStart w:id="662" w:name="_Toc297123565"/>
      <w:r/>
      <w:bookmarkStart w:id="663" w:name="_Toc267251471"/>
      <w:r/>
      <w:bookmarkStart w:id="664" w:name="_Toc267251476"/>
      <w:r/>
      <w:bookmarkStart w:id="665" w:name="_Toc267251472"/>
      <w:r/>
      <w:bookmarkStart w:id="666" w:name="_Toc267251474"/>
      <w:r/>
      <w:bookmarkStart w:id="667" w:name="_Toc267251470"/>
      <w:r/>
      <w:bookmarkStart w:id="668" w:name="_Toc267251473"/>
      <w:r/>
      <w:bookmarkStart w:id="669" w:name="_Toc267251475"/>
      <w:r>
        <w:rPr>
          <w:rFonts w:hint="eastAsia" w:ascii="宋体" w:hAnsi="宋体" w:eastAsia="宋体" w:cs="宋体"/>
          <w:color w:val="auto"/>
          <w:sz w:val="24"/>
        </w:rPr>
        <w:t xml:space="preserve">13.2 竣工验收</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
    </w:p>
    <w:p>
      <w:pPr>
        <w:ind w:firstLine="480"/>
        <w:spacing w:line="360" w:lineRule="auto"/>
        <w:rPr>
          <w:rFonts w:hint="eastAsia" w:ascii="宋体" w:hAnsi="宋体" w:eastAsia="宋体" w:cs="宋体"/>
          <w:color w:val="auto"/>
          <w:sz w:val="24"/>
        </w:rPr>
      </w:pPr>
      <w:r/>
      <w:bookmarkStart w:id="670" w:name="_Toc280868704"/>
      <w:r/>
      <w:bookmarkStart w:id="671" w:name="_Toc280868705"/>
      <w:r/>
      <w:bookmarkStart w:id="672" w:name="_Toc280868706"/>
      <w:r/>
      <w:bookmarkStart w:id="673" w:name="_Toc280868707"/>
      <w:r/>
      <w:bookmarkStart w:id="674" w:name="_Toc280868708"/>
      <w:r/>
      <w:bookmarkStart w:id="675" w:name="_Toc280868709"/>
      <w:r>
        <w:rPr>
          <w:rFonts w:hint="eastAsia" w:ascii="宋体" w:hAnsi="宋体" w:eastAsia="宋体" w:cs="宋体"/>
          <w:color w:val="auto"/>
          <w:sz w:val="24"/>
        </w:rPr>
        <w:t xml:space="preserve">13.2.1竣工验收程序</w:t>
      </w:r>
      <w:bookmarkEnd w:id="67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关于竣工验收程序的约定：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发包人不按照本项约定组织竣工验收、颁发工程接收证书的违约金的计算方法：</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67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13.2.2移交、接收全部与部分工程</w:t>
      </w:r>
      <w:bookmarkEnd w:id="67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承包人向发包人移交工程的期限：</w:t>
      </w:r>
      <w:r>
        <w:rPr>
          <w:rFonts w:hint="eastAsia" w:ascii="宋体" w:hAnsi="宋体" w:eastAsia="宋体" w:cs="宋体"/>
          <w:color w:val="auto"/>
          <w:sz w:val="24"/>
          <w:u w:val="single"/>
        </w:rPr>
        <w:t xml:space="preserve">在颁发工程接收证书后7日内完成工程的移交。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发包人未按本合同约定接收全部或部分工程的，违约金的计算方法为：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673"/>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承包人未按时移交工程的，违约金的计算方法为：</w:t>
      </w:r>
      <w:r>
        <w:rPr>
          <w:rFonts w:hint="eastAsia" w:ascii="宋体" w:hAnsi="宋体" w:eastAsia="宋体" w:cs="宋体"/>
          <w:color w:val="auto"/>
          <w:sz w:val="24"/>
          <w:u w:val="single"/>
        </w:rPr>
        <w:t xml:space="preserve">每推迟一天，</w:t>
      </w:r>
      <w:r>
        <w:rPr>
          <w:rFonts w:hint="eastAsia" w:ascii="宋体" w:hAnsi="宋体" w:eastAsia="宋体" w:cs="宋体"/>
          <w:b/>
          <w:bCs/>
          <w:color w:val="auto"/>
          <w:sz w:val="24"/>
          <w:u w:val="single"/>
        </w:rPr>
        <w:t xml:space="preserve">承</w:t>
      </w:r>
      <w:r>
        <w:rPr>
          <w:rFonts w:hint="eastAsia" w:ascii="宋体" w:hAnsi="宋体" w:eastAsia="宋体" w:cs="宋体"/>
          <w:b/>
          <w:color w:val="auto"/>
          <w:sz w:val="24"/>
          <w:u w:val="single"/>
        </w:rPr>
        <w:t xml:space="preserve">包人赔偿给发包人合同价万分之一违约金</w:t>
      </w:r>
      <w:r>
        <w:rPr>
          <w:rFonts w:hint="eastAsia" w:ascii="宋体" w:hAnsi="宋体" w:eastAsia="宋体" w:cs="宋体"/>
          <w:b/>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 工程试车</w:t>
      </w:r>
      <w:bookmarkEnd w:id="67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13.3.1 试车程序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工程试车内容：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numPr>
          <w:ilvl w:val="0"/>
          <w:numId w:val="6"/>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单机无负荷试车费用由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无负荷联动试车费用由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13.3.2 投料试车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关于投料试车相关事项的约定：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13.4.1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承包人完成竣工退场的期限：</w:t>
      </w:r>
      <w:r>
        <w:rPr>
          <w:rFonts w:hint="eastAsia" w:ascii="宋体" w:hAnsi="宋体" w:eastAsia="宋体" w:cs="宋体"/>
          <w:color w:val="auto"/>
          <w:sz w:val="24"/>
          <w:u w:val="single"/>
        </w:rPr>
        <w:t xml:space="preserve">在移交结束后7日内完成竣工退场 </w:t>
      </w:r>
      <w:r>
        <w:rPr>
          <w:rFonts w:hint="eastAsia" w:ascii="宋体" w:hAnsi="宋体" w:eastAsia="宋体" w:cs="宋体"/>
          <w:color w:val="auto"/>
          <w:sz w:val="24"/>
        </w:rPr>
        <w:t xml:space="preserve">。</w:t>
      </w:r>
      <w:r/>
    </w:p>
    <w:p>
      <w:pPr>
        <w:pStyle w:val="703"/>
        <w:ind w:firstLine="482"/>
        <w:spacing w:before="0" w:after="0" w:line="360" w:lineRule="auto"/>
        <w:rPr>
          <w:rFonts w:hint="eastAsia" w:ascii="宋体" w:hAnsi="宋体" w:eastAsia="宋体" w:cs="宋体"/>
          <w:color w:val="auto"/>
          <w:sz w:val="24"/>
          <w:szCs w:val="24"/>
        </w:rPr>
      </w:pPr>
      <w:r/>
      <w:bookmarkStart w:id="676" w:name="_Toc351203646"/>
      <w:r>
        <w:rPr>
          <w:rFonts w:hint="eastAsia" w:ascii="宋体" w:hAnsi="宋体" w:eastAsia="宋体" w:cs="宋体"/>
          <w:color w:val="auto"/>
          <w:sz w:val="24"/>
          <w:szCs w:val="24"/>
        </w:rPr>
        <w:t xml:space="preserve">14、竣工结算</w:t>
      </w:r>
      <w:bookmarkEnd w:id="676"/>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执行《建设工程工程量清单计价规范》GB50500-2013的规定。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竣工付款申请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承包人提交竣工付款申请单的期限：</w:t>
      </w:r>
      <w:r>
        <w:rPr>
          <w:rFonts w:hint="eastAsia" w:ascii="宋体" w:hAnsi="宋体" w:eastAsia="宋体" w:cs="宋体"/>
          <w:color w:val="auto"/>
          <w:sz w:val="24"/>
          <w:u w:val="single"/>
        </w:rPr>
        <w:t xml:space="preserve">在工程竣工验收合格后28天内向发包人和监理人提交竣工结算申请单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竣工付款申请单应包括的内容：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（1）竣工结算合同价格；</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（2）发包人已支付承包人的款项；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（3）应扣留的质量保证金；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（4）发包人应支付承包人的合同价款。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竣工结算审核</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发包人审批竣工付款申请单的期限：</w:t>
      </w:r>
      <w:r>
        <w:rPr>
          <w:rFonts w:hint="eastAsia" w:ascii="宋体" w:hAnsi="宋体" w:eastAsia="宋体" w:cs="宋体"/>
          <w:color w:val="auto"/>
          <w:sz w:val="24"/>
          <w:u w:val="single"/>
        </w:rPr>
        <w:t xml:space="preserve">发包人在收到承包人提交竣工结算申请书后2个月内完成审批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发包人完成竣工付款的期限：</w:t>
      </w:r>
      <w:r>
        <w:rPr>
          <w:rFonts w:hint="eastAsia" w:ascii="宋体" w:hAnsi="宋体" w:eastAsia="宋体" w:cs="宋体"/>
          <w:color w:val="auto"/>
          <w:sz w:val="24"/>
          <w:u w:val="single"/>
        </w:rPr>
        <w:t xml:space="preserve">发包人应在签发竣工付款证书后的3个月内，完成对承包人的竣工付款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关于竣工付款证书异议部分复核的方式和程序：</w:t>
      </w:r>
      <w:r>
        <w:rPr>
          <w:rFonts w:hint="eastAsia" w:ascii="宋体" w:hAnsi="宋体" w:eastAsia="宋体" w:cs="宋体"/>
          <w:color w:val="auto"/>
          <w:sz w:val="24"/>
          <w:u w:val="single"/>
        </w:rPr>
        <w:t xml:space="preserve">按照第19条〔争议解决〕约定处理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工程竣工结算要接受发包人委托的审计单位审计，审计以承包人送审价为基数，竣工结算核减额5%</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含5%</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以内审计费由发包人承担，</w:t>
      </w:r>
      <w:r>
        <w:rPr>
          <w:rFonts w:hint="eastAsia" w:ascii="宋体" w:hAnsi="宋体" w:eastAsia="宋体" w:cs="宋体"/>
          <w:color w:val="auto"/>
          <w:sz w:val="24"/>
          <w:lang w:eastAsia="zh-CN"/>
        </w:rPr>
        <w:t xml:space="preserve">如果</w:t>
      </w:r>
      <w:r>
        <w:rPr>
          <w:rFonts w:hint="eastAsia" w:ascii="宋体" w:hAnsi="宋体" w:eastAsia="宋体" w:cs="宋体"/>
          <w:color w:val="auto"/>
          <w:sz w:val="24"/>
        </w:rPr>
        <w:t xml:space="preserve">核减额超过5%</w:t>
      </w:r>
      <w:r>
        <w:rPr>
          <w:rFonts w:hint="eastAsia" w:ascii="宋体" w:hAnsi="宋体" w:eastAsia="宋体" w:cs="宋体"/>
          <w:color w:val="auto"/>
          <w:sz w:val="24"/>
          <w:lang w:eastAsia="zh-CN"/>
        </w:rPr>
        <w:t xml:space="preserve">所有</w:t>
      </w:r>
      <w:r>
        <w:rPr>
          <w:rFonts w:hint="eastAsia" w:ascii="宋体" w:hAnsi="宋体" w:eastAsia="宋体" w:cs="宋体"/>
          <w:color w:val="auto"/>
          <w:sz w:val="24"/>
        </w:rPr>
        <w:t xml:space="preserve">审计费由承包人承担，发包人从工程款中扣除。具体计费标准及方式以发包人与委托的审计单位签约计费方式为准。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 最终结清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14.3.1 最终结清申请单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承包人提交最终结清申请单的份数：</w:t>
      </w:r>
      <w:r>
        <w:rPr>
          <w:rFonts w:hint="eastAsia" w:ascii="宋体" w:hAnsi="宋体" w:eastAsia="宋体" w:cs="宋体"/>
          <w:color w:val="auto"/>
          <w:sz w:val="24"/>
          <w:u w:val="single"/>
        </w:rPr>
        <w:t xml:space="preserve"> 叁份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承包人提交最终结算申请单的期限：</w:t>
      </w:r>
      <w:r>
        <w:rPr>
          <w:rFonts w:hint="eastAsia" w:ascii="宋体" w:hAnsi="宋体" w:eastAsia="宋体" w:cs="宋体"/>
          <w:color w:val="auto"/>
          <w:sz w:val="24"/>
          <w:u w:val="single"/>
        </w:rPr>
        <w:t xml:space="preserve">在缺陷责任期终止证书颁发后7日内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14.3.2 最终结清证书和支付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（1）发包人完成最终结清申请单的审批并颁发最终结清证书的期限：</w:t>
      </w:r>
      <w:r>
        <w:rPr>
          <w:rFonts w:hint="eastAsia" w:ascii="宋体" w:hAnsi="宋体" w:eastAsia="宋体" w:cs="宋体"/>
          <w:color w:val="auto"/>
          <w:sz w:val="24"/>
          <w:u w:val="single"/>
        </w:rPr>
        <w:t xml:space="preserve">在收到承包人提交的最终结清申请单后14天内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（2）发包人完成支付的期限：</w:t>
      </w:r>
      <w:r>
        <w:rPr>
          <w:rFonts w:hint="eastAsia" w:ascii="宋体" w:hAnsi="宋体" w:eastAsia="宋体" w:cs="宋体"/>
          <w:color w:val="auto"/>
          <w:sz w:val="24"/>
          <w:u w:val="single"/>
        </w:rPr>
        <w:t xml:space="preserve">在颁发最终结清证书后30日内完成支付 。</w:t>
      </w:r>
      <w:bookmarkEnd w:id="663"/>
      <w:r/>
      <w:bookmarkEnd w:id="664"/>
      <w:r/>
      <w:bookmarkEnd w:id="665"/>
      <w:r/>
      <w:bookmarkEnd w:id="666"/>
      <w:r/>
      <w:bookmarkEnd w:id="667"/>
      <w:r/>
      <w:bookmarkEnd w:id="668"/>
      <w:r/>
      <w:bookmarkEnd w:id="669"/>
      <w:r/>
      <w:bookmarkEnd w:id="675"/>
      <w:r/>
      <w:r/>
    </w:p>
    <w:p>
      <w:pPr>
        <w:pStyle w:val="703"/>
        <w:ind w:firstLine="482"/>
        <w:spacing w:before="0" w:after="0" w:line="360" w:lineRule="auto"/>
        <w:rPr>
          <w:rFonts w:hint="eastAsia" w:ascii="宋体" w:hAnsi="宋体" w:eastAsia="宋体" w:cs="宋体"/>
          <w:color w:val="auto"/>
          <w:sz w:val="24"/>
          <w:szCs w:val="24"/>
        </w:rPr>
      </w:pPr>
      <w:r/>
      <w:bookmarkStart w:id="677" w:name="_Toc351203647"/>
      <w:r/>
      <w:bookmarkStart w:id="678" w:name="_Toc267251483"/>
      <w:r/>
      <w:bookmarkStart w:id="679" w:name="_Toc267251484"/>
      <w:r/>
      <w:bookmarkStart w:id="680" w:name="_Toc267251482"/>
      <w:r/>
      <w:bookmarkStart w:id="681" w:name="_Toc267251485"/>
      <w:r/>
      <w:bookmarkStart w:id="682" w:name="_Toc267251488"/>
      <w:r/>
      <w:bookmarkStart w:id="683" w:name="_Toc267251486"/>
      <w:r/>
      <w:bookmarkStart w:id="684" w:name="_Toc267251489"/>
      <w:r/>
      <w:bookmarkStart w:id="685" w:name="_Toc267251490"/>
      <w:r/>
      <w:bookmarkStart w:id="686" w:name="_Toc267251492"/>
      <w:r/>
      <w:bookmarkStart w:id="687" w:name="_Toc267251498"/>
      <w:r/>
      <w:bookmarkStart w:id="688" w:name="_Toc267251493"/>
      <w:r/>
      <w:bookmarkStart w:id="689" w:name="_Toc267251495"/>
      <w:r/>
      <w:bookmarkStart w:id="690" w:name="_Toc267251501"/>
      <w:r/>
      <w:bookmarkStart w:id="691" w:name="_Toc267251499"/>
      <w:r/>
      <w:bookmarkStart w:id="692" w:name="_Toc267251503"/>
      <w:r/>
      <w:bookmarkStart w:id="693" w:name="_Toc267251497"/>
      <w:r/>
      <w:bookmarkStart w:id="694" w:name="_Toc267251494"/>
      <w:r/>
      <w:bookmarkStart w:id="695" w:name="_Toc267251502"/>
      <w:r/>
      <w:bookmarkStart w:id="696" w:name="_Toc267251496"/>
      <w:r/>
      <w:bookmarkStart w:id="697" w:name="_Toc267251491"/>
      <w:r/>
      <w:bookmarkStart w:id="698" w:name="_Toc267251504"/>
      <w:r/>
      <w:bookmarkStart w:id="699" w:name="_Toc267251506"/>
      <w:r/>
      <w:bookmarkStart w:id="700" w:name="_Toc267251507"/>
      <w:r/>
      <w:bookmarkStart w:id="701" w:name="_Toc267251508"/>
      <w:r/>
      <w:bookmarkStart w:id="702" w:name="_Toc267251511"/>
      <w:r/>
      <w:bookmarkStart w:id="703" w:name="_Toc267251514"/>
      <w:r/>
      <w:bookmarkStart w:id="704" w:name="_Toc267251509"/>
      <w:r/>
      <w:bookmarkStart w:id="705" w:name="_Toc267251513"/>
      <w:r/>
      <w:bookmarkStart w:id="706" w:name="_Toc267251510"/>
      <w:r/>
      <w:bookmarkStart w:id="707" w:name="_Toc267251515"/>
      <w:r>
        <w:rPr>
          <w:rFonts w:hint="eastAsia" w:ascii="宋体" w:hAnsi="宋体" w:eastAsia="宋体" w:cs="宋体"/>
          <w:color w:val="auto"/>
          <w:sz w:val="24"/>
          <w:szCs w:val="24"/>
        </w:rPr>
        <w:t xml:space="preserve">15、缺陷责任期与保修</w:t>
      </w:r>
      <w:bookmarkEnd w:id="67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15.1缺陷责任期</w:t>
      </w:r>
      <w:bookmarkEnd w:id="67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缺陷责任期的具体期限：</w:t>
      </w:r>
      <w:r>
        <w:rPr>
          <w:rFonts w:hint="eastAsia" w:ascii="宋体" w:hAnsi="宋体" w:eastAsia="宋体" w:cs="宋体"/>
          <w:color w:val="auto"/>
          <w:sz w:val="24"/>
          <w:u w:val="single"/>
        </w:rPr>
        <w:t xml:space="preserve">自实际竣工日期起</w:t>
      </w:r>
      <w:r>
        <w:rPr>
          <w:rFonts w:hint="eastAsia" w:ascii="宋体" w:hAnsi="宋体" w:eastAsia="宋体" w:cs="宋体"/>
          <w:b/>
          <w:color w:val="auto"/>
          <w:sz w:val="24"/>
          <w:u w:val="single"/>
        </w:rPr>
        <w:t xml:space="preserve">24个月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color w:val="auto"/>
          <w:sz w:val="24"/>
          <w:highlight w:val="none"/>
          <w:u w:val="single"/>
        </w:rPr>
        <w:t xml:space="preserve"> 扣留质量保证金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15.2.1 承包人提供质量保证金的方式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⑴质量保证金保函，保证金额为：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rPr>
        <w:t xml:space="preserve">的工程款；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⑶其他方式：</w:t>
      </w:r>
      <w:r>
        <w:rPr>
          <w:rFonts w:hint="eastAsia" w:ascii="宋体" w:hAnsi="宋体" w:eastAsia="宋体" w:cs="宋体"/>
          <w:color w:val="auto"/>
          <w:sz w:val="24"/>
          <w:highlight w:val="none"/>
          <w:u w:val="single"/>
        </w:rPr>
        <w:t xml:space="preserve">  工程结算价的3%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15.2.2 质量保证金的扣留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⑵工程竣工结算审计结束时一次性扣留质量保证金；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color w:val="auto"/>
          <w:sz w:val="24"/>
          <w:highlight w:val="none"/>
          <w:u w:val="single"/>
        </w:rPr>
        <w:t xml:space="preserve">在颁发最终结清证书后30日内无息退还。</w:t>
      </w:r>
      <w:bookmarkEnd w:id="679"/>
      <w:r/>
      <w:bookmarkEnd w:id="68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15.3保修</w:t>
      </w:r>
      <w:bookmarkEnd w:id="68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15.3.1 保修责任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工程保修期为：</w:t>
      </w:r>
      <w:r>
        <w:rPr>
          <w:rFonts w:hint="eastAsia" w:ascii="宋体" w:hAnsi="宋体" w:eastAsia="宋体" w:cs="宋体"/>
          <w:color w:val="auto"/>
          <w:sz w:val="24"/>
          <w:u w:val="single"/>
        </w:rPr>
        <w:t xml:space="preserve">  按国家有关规定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15.3.2 修复通知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承包人收到保修通知并到达工程现场的合理时间：</w:t>
      </w:r>
      <w:r>
        <w:rPr>
          <w:rFonts w:hint="eastAsia" w:ascii="宋体" w:hAnsi="宋体" w:eastAsia="宋体" w:cs="宋体"/>
          <w:color w:val="auto"/>
          <w:sz w:val="24"/>
          <w:u w:val="single"/>
        </w:rPr>
        <w:t xml:space="preserve">收到保修通知或口头通知后48小时内</w:t>
      </w:r>
      <w:r>
        <w:rPr>
          <w:rFonts w:hint="eastAsia" w:ascii="宋体" w:hAnsi="宋体" w:eastAsia="宋体" w:cs="宋体"/>
          <w:color w:val="auto"/>
          <w:sz w:val="24"/>
        </w:rPr>
        <w:t xml:space="preserve">。</w:t>
      </w:r>
      <w:bookmarkEnd w:id="682"/>
      <w:r/>
      <w:bookmarkEnd w:id="683"/>
      <w:r/>
      <w:bookmarkEnd w:id="684"/>
      <w:r/>
      <w:bookmarkEnd w:id="685"/>
      <w:r/>
      <w:r/>
    </w:p>
    <w:p>
      <w:pPr>
        <w:pStyle w:val="703"/>
        <w:ind w:firstLine="482"/>
        <w:spacing w:before="0" w:after="0" w:line="360" w:lineRule="auto"/>
        <w:rPr>
          <w:rFonts w:hint="eastAsia" w:ascii="宋体" w:hAnsi="宋体" w:eastAsia="宋体" w:cs="宋体"/>
          <w:color w:val="auto"/>
          <w:sz w:val="24"/>
          <w:szCs w:val="24"/>
        </w:rPr>
      </w:pPr>
      <w:r/>
      <w:bookmarkStart w:id="708" w:name="_Toc280868717"/>
      <w:r/>
      <w:bookmarkStart w:id="709" w:name="_Toc280868718"/>
      <w:r>
        <w:rPr>
          <w:rFonts w:hint="eastAsia" w:ascii="宋体" w:hAnsi="宋体" w:eastAsia="宋体" w:cs="宋体"/>
          <w:color w:val="auto"/>
          <w:sz w:val="24"/>
          <w:szCs w:val="24"/>
        </w:rPr>
        <w:t xml:space="preserve">16、违约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发包人违约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16.1.1发包人违约的情形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16.1.2 发包人违约的责任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发包人违约责任的承担方式和计算方法：</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（1）因发包人原因未能在计划开工日期前7天内下达开工通知的违约责任：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u w:val="single"/>
        </w:rPr>
        <w:t xml:space="preserve"> 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（3）因发包人违反合同约定造成暂停施工的违约责任：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（4）发包人无正当理由没有在约定期限内发出复工指示，导致承包人无法复工的违约责任：</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（5）其他：</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16.1.3 因发包人违约解除合同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承包人按16.1.1项〔发包人违约的情形〕约定暂停施工满</w:t>
      </w:r>
      <w:r>
        <w:rPr>
          <w:rFonts w:hint="eastAsia" w:ascii="宋体" w:hAnsi="宋体" w:eastAsia="宋体" w:cs="宋体"/>
          <w:color w:val="auto"/>
          <w:sz w:val="24"/>
          <w:u w:val="single"/>
        </w:rPr>
        <w:t xml:space="preserve"> 90 </w:t>
      </w:r>
      <w:r>
        <w:rPr>
          <w:rFonts w:hint="eastAsia" w:ascii="宋体" w:hAnsi="宋体" w:eastAsia="宋体" w:cs="宋体"/>
          <w:color w:val="auto"/>
          <w:sz w:val="24"/>
        </w:rPr>
        <w:t xml:space="preserve">天后发包人仍不纠正其违约行为并致使合同目的不能实现的，承包人有权解除合同。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16.2.1 承包人违约的情形</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承包人违约的其他情形：</w:t>
      </w:r>
      <w:r>
        <w:rPr>
          <w:rFonts w:hint="eastAsia" w:ascii="宋体" w:hAnsi="宋体" w:eastAsia="宋体" w:cs="宋体"/>
          <w:color w:val="auto"/>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u w:val="single"/>
        </w:rPr>
        <w:t xml:space="preserve">按每拖延一天罚合同总价的万分之一</w:t>
      </w:r>
      <w:r>
        <w:rPr>
          <w:rFonts w:hint="eastAsia" w:ascii="宋体" w:hAnsi="宋体" w:eastAsia="宋体" w:cs="宋体"/>
          <w:color w:val="auto"/>
          <w:sz w:val="24"/>
          <w:u w:val="single"/>
        </w:rPr>
        <w:t xml:space="preserve">，在结算时扣除。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16.2.2承包人违约的责任</w:t>
      </w:r>
      <w:r/>
    </w:p>
    <w:p>
      <w:pPr>
        <w:ind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承包人违约责任的承担方式和计算方法：</w:t>
      </w:r>
      <w:r>
        <w:rPr>
          <w:rFonts w:hint="eastAsia" w:ascii="宋体" w:hAnsi="宋体" w:eastAsia="宋体" w:cs="宋体"/>
          <w:color w:val="auto"/>
          <w:sz w:val="24"/>
          <w:u w:val="single"/>
        </w:rPr>
        <w:t xml:space="preserve">承包人承担全部费用，费用工期不顺延。工期延误每延误一天，</w:t>
      </w:r>
      <w:r>
        <w:rPr>
          <w:rFonts w:hint="eastAsia" w:ascii="宋体" w:hAnsi="宋体" w:eastAsia="宋体" w:cs="宋体"/>
          <w:b/>
          <w:color w:val="auto"/>
          <w:sz w:val="24"/>
          <w:u w:val="single"/>
        </w:rPr>
        <w:t xml:space="preserve">承包人赔偿给发包人合同总价的万分之一违约金。</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16.2.3 因承包人违约解除合同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关于承包人违约解除合同的特别约定：</w:t>
      </w:r>
      <w:r>
        <w:rPr>
          <w:rFonts w:hint="eastAsia" w:ascii="宋体" w:hAnsi="宋体" w:eastAsia="宋体" w:cs="宋体"/>
          <w:color w:val="auto"/>
          <w:sz w:val="24"/>
          <w:u w:val="single"/>
        </w:rPr>
        <w:t xml:space="preserve">发包人没收全部</w:t>
      </w:r>
      <w:r>
        <w:rPr>
          <w:rFonts w:hint="eastAsia" w:ascii="宋体" w:hAnsi="宋体" w:cs="宋体"/>
          <w:color w:val="auto"/>
          <w:sz w:val="24"/>
          <w:u w:val="single"/>
          <w:lang w:val="en-US" w:eastAsia="zh-CN"/>
        </w:rPr>
        <w:t xml:space="preserve">履约保证金</w:t>
      </w:r>
      <w:r>
        <w:rPr>
          <w:rFonts w:hint="eastAsia" w:ascii="宋体" w:hAnsi="宋体" w:eastAsia="宋体" w:cs="宋体"/>
          <w:color w:val="auto"/>
          <w:sz w:val="24"/>
          <w:u w:val="single"/>
        </w:rPr>
        <w:t xml:space="preserve">并暂停对承包人的付款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u w:val="single"/>
        </w:rPr>
        <w:t xml:space="preserve">  施工现场的材料、设备由发包人承担费用，其它费用由承包人承担。</w:t>
      </w:r>
      <w:r/>
    </w:p>
    <w:p>
      <w:pPr>
        <w:pStyle w:val="703"/>
        <w:ind w:firstLine="482"/>
        <w:spacing w:before="0" w:after="0" w:line="360" w:lineRule="auto"/>
        <w:rPr>
          <w:rFonts w:hint="eastAsia" w:ascii="宋体" w:hAnsi="宋体" w:eastAsia="宋体" w:cs="宋体"/>
          <w:color w:val="auto"/>
          <w:sz w:val="24"/>
          <w:szCs w:val="24"/>
        </w:rPr>
      </w:pPr>
      <w:r/>
      <w:bookmarkStart w:id="710" w:name="_Toc351203649"/>
      <w:r>
        <w:rPr>
          <w:rFonts w:hint="eastAsia" w:ascii="宋体" w:hAnsi="宋体" w:eastAsia="宋体" w:cs="宋体"/>
          <w:color w:val="auto"/>
          <w:sz w:val="24"/>
          <w:szCs w:val="24"/>
        </w:rPr>
        <w:t xml:space="preserve">17、不可抗力</w:t>
      </w:r>
      <w:bookmarkEnd w:id="710"/>
      <w:r>
        <w:rPr>
          <w:rFonts w:hint="eastAsia" w:ascii="宋体" w:hAnsi="宋体" w:eastAsia="宋体" w:cs="宋体"/>
          <w:color w:val="auto"/>
          <w:sz w:val="24"/>
          <w:szCs w:val="24"/>
        </w:rPr>
        <w:t xml:space="preserve"> </w:t>
      </w:r>
      <w:bookmarkEnd w:id="70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 不可抗力的确认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除通用合同条款约定的不可抗力事件之外，视为不可抗力的其他情形：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17.2因不可抗力解除合同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合同解除后，发包人应在商定或确定发包人应支付款项后</w:t>
      </w:r>
      <w:r>
        <w:rPr>
          <w:rFonts w:hint="eastAsia" w:ascii="宋体" w:hAnsi="宋体" w:eastAsia="宋体" w:cs="宋体"/>
          <w:color w:val="auto"/>
          <w:sz w:val="24"/>
          <w:u w:val="single"/>
        </w:rPr>
        <w:t xml:space="preserve">  28  </w:t>
      </w:r>
      <w:r>
        <w:rPr>
          <w:rFonts w:hint="eastAsia" w:ascii="宋体" w:hAnsi="宋体" w:eastAsia="宋体" w:cs="宋体"/>
          <w:color w:val="auto"/>
          <w:sz w:val="24"/>
        </w:rPr>
        <w:t xml:space="preserve">天内完成款项的支付。</w:t>
      </w:r>
      <w:r/>
    </w:p>
    <w:p>
      <w:pPr>
        <w:pStyle w:val="703"/>
        <w:ind w:firstLine="482"/>
        <w:spacing w:before="0" w:after="0" w:line="360" w:lineRule="auto"/>
        <w:rPr>
          <w:rFonts w:hint="eastAsia" w:ascii="宋体" w:hAnsi="宋体" w:eastAsia="宋体" w:cs="宋体"/>
          <w:color w:val="auto"/>
          <w:sz w:val="24"/>
          <w:szCs w:val="24"/>
        </w:rPr>
      </w:pPr>
      <w:r/>
      <w:bookmarkStart w:id="711" w:name="_Toc351203650"/>
      <w:r>
        <w:rPr>
          <w:rFonts w:hint="eastAsia" w:ascii="宋体" w:hAnsi="宋体" w:eastAsia="宋体" w:cs="宋体"/>
          <w:color w:val="auto"/>
          <w:sz w:val="24"/>
          <w:szCs w:val="24"/>
        </w:rPr>
        <w:t xml:space="preserve">18、保险</w:t>
      </w:r>
      <w:bookmarkEnd w:id="709"/>
      <w:r/>
      <w:bookmarkEnd w:id="71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 工程保险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关于工程保险的特别约定：</w:t>
      </w:r>
      <w:r>
        <w:rPr>
          <w:rFonts w:hint="eastAsia" w:ascii="宋体" w:hAnsi="宋体" w:eastAsia="宋体" w:cs="宋体"/>
          <w:color w:val="auto"/>
          <w:sz w:val="24"/>
          <w:u w:val="single"/>
        </w:rPr>
        <w:t xml:space="preserve">为工程购买建筑工程一切险，保险费用由承包人支付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 其他保险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关于其他保险的约定：</w:t>
      </w:r>
      <w:r>
        <w:rPr>
          <w:rFonts w:hint="eastAsia" w:ascii="宋体" w:hAnsi="宋体" w:eastAsia="宋体" w:cs="宋体"/>
          <w:color w:val="auto"/>
          <w:sz w:val="24"/>
          <w:u w:val="single"/>
        </w:rPr>
        <w:t xml:space="preserve">承包人为施工现场的全部人员办理意外伤害保险、工程事故保险</w:t>
      </w:r>
      <w:r>
        <w:rPr>
          <w:rFonts w:hint="eastAsia" w:ascii="宋体" w:hAnsi="宋体" w:eastAsia="宋体" w:cs="宋体"/>
          <w:color w:val="auto"/>
          <w:sz w:val="24"/>
          <w:u w:val="none"/>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承包人是否应为其施工设备等办理财产保险：</w:t>
      </w:r>
      <w:r>
        <w:rPr>
          <w:rFonts w:hint="eastAsia" w:ascii="宋体" w:hAnsi="宋体" w:eastAsia="宋体" w:cs="宋体"/>
          <w:color w:val="auto"/>
          <w:sz w:val="24"/>
          <w:u w:val="single"/>
        </w:rPr>
        <w:t xml:space="preserve">承包人为其施工设备等办理财产保险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 通知义务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关于变更保险合同时的通知义务的约定：</w:t>
      </w:r>
      <w:r>
        <w:rPr>
          <w:rFonts w:hint="eastAsia" w:ascii="宋体" w:hAnsi="宋体" w:eastAsia="宋体" w:cs="宋体"/>
          <w:color w:val="auto"/>
          <w:sz w:val="24"/>
          <w:u w:val="single"/>
        </w:rPr>
        <w:t xml:space="preserve">变更前应事先征得对方同意并通知监理人</w:t>
      </w:r>
      <w:r>
        <w:rPr>
          <w:rFonts w:hint="eastAsia" w:ascii="宋体" w:hAnsi="宋体" w:eastAsia="宋体" w:cs="宋体"/>
          <w:color w:val="auto"/>
          <w:sz w:val="24"/>
        </w:rPr>
        <w:t xml:space="preserve">。</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
    </w:p>
    <w:p>
      <w:pPr>
        <w:pStyle w:val="703"/>
        <w:ind w:firstLine="482"/>
        <w:spacing w:before="0" w:after="0" w:line="360" w:lineRule="auto"/>
        <w:rPr>
          <w:rFonts w:hint="eastAsia" w:ascii="宋体" w:hAnsi="宋体" w:eastAsia="宋体" w:cs="宋体"/>
          <w:color w:val="auto"/>
          <w:sz w:val="24"/>
          <w:szCs w:val="24"/>
        </w:rPr>
      </w:pPr>
      <w:r/>
      <w:bookmarkStart w:id="712" w:name="_Toc351203651"/>
      <w:r>
        <w:rPr>
          <w:rFonts w:hint="eastAsia" w:ascii="宋体" w:hAnsi="宋体" w:eastAsia="宋体" w:cs="宋体"/>
          <w:color w:val="auto"/>
          <w:sz w:val="24"/>
          <w:szCs w:val="24"/>
        </w:rPr>
        <w:t xml:space="preserve">19、争议解决</w:t>
      </w:r>
      <w:bookmarkEnd w:id="698"/>
      <w:r/>
      <w:bookmarkEnd w:id="699"/>
      <w:r/>
      <w:bookmarkEnd w:id="71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 争</w:t>
      </w:r>
      <w:bookmarkEnd w:id="700"/>
      <w:r>
        <w:rPr>
          <w:rFonts w:hint="eastAsia" w:ascii="宋体" w:hAnsi="宋体" w:eastAsia="宋体" w:cs="宋体"/>
          <w:color w:val="auto"/>
          <w:sz w:val="24"/>
        </w:rPr>
        <w:t xml:space="preserve">议评审</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合同当事人是否同意将工程争议提交争议评审小组决定：</w:t>
      </w:r>
      <w:r>
        <w:rPr>
          <w:rFonts w:hint="eastAsia" w:ascii="宋体" w:hAnsi="宋体" w:eastAsia="宋体" w:cs="宋体"/>
          <w:color w:val="auto"/>
          <w:sz w:val="24"/>
          <w:u w:val="single"/>
        </w:rPr>
        <w:t xml:space="preserve">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19.1.1 争议评审小组的确定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争议评审小组成员的确定：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选定争议评审员的期限：</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争议评审小组成员的报酬承担方式：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19.1.2 争议评审小组的决定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合同当事人关于本项的约定：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19.2仲裁或诉讼</w:t>
      </w:r>
      <w:bookmarkEnd w:id="70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因合同及合同有关事项发生的争议，按下列第</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种方式解决：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（1）向</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仲裁委员会申请仲裁；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（2）向</w:t>
      </w:r>
      <w:r>
        <w:rPr>
          <w:rFonts w:hint="eastAsia" w:ascii="宋体" w:hAnsi="宋体" w:eastAsia="宋体" w:cs="宋体"/>
          <w:color w:val="auto"/>
          <w:sz w:val="24"/>
          <w:u w:val="single"/>
        </w:rPr>
        <w:t xml:space="preserve">  工程所在地由管辖权 </w:t>
      </w:r>
      <w:r>
        <w:rPr>
          <w:rFonts w:hint="eastAsia" w:ascii="宋体" w:hAnsi="宋体" w:eastAsia="宋体" w:cs="宋体"/>
          <w:color w:val="auto"/>
          <w:sz w:val="24"/>
        </w:rPr>
        <w:t xml:space="preserve">人民法院起诉。</w:t>
      </w:r>
      <w:bookmarkEnd w:id="702"/>
      <w:r/>
      <w:bookmarkEnd w:id="703"/>
      <w:r/>
      <w:bookmarkEnd w:id="704"/>
      <w:r/>
      <w:bookmarkEnd w:id="705"/>
      <w:r/>
      <w:bookmarkEnd w:id="706"/>
      <w:r/>
      <w:bookmarkEnd w:id="707"/>
      <w:r/>
      <w:r/>
    </w:p>
    <w:p>
      <w:pPr>
        <w:pStyle w:val="703"/>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20、补充条款：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（1）结算时，以成交价及本合同中明确的调整因素、办法为依据进行调整。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（2）为了确保工程顺利完成，施工期间若承包人有违背磋商文件（含合同条件）有关规定之行为，承包人无条件接受招标人的一切处罚并赔偿所造成的一切损失，在发包人规定的时间内无条件撤出施工现场。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（3）施工期间承包人必须按文明施工规定的具体内容进行实施，若未全部实施，结算时将扣除相应费用。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（5）合同签订后，若承包人不按合同双方约定进场施工，发包人有权没收承包人的合同</w:t>
      </w:r>
      <w:r>
        <w:rPr>
          <w:rFonts w:hint="eastAsia" w:ascii="宋体" w:hAnsi="宋体" w:eastAsia="宋体" w:cs="宋体"/>
          <w:color w:val="auto"/>
          <w:sz w:val="24"/>
          <w:lang w:val="en-US" w:eastAsia="zh-CN"/>
        </w:rPr>
        <w:t xml:space="preserve">履约保证金</w:t>
      </w:r>
      <w:r>
        <w:rPr>
          <w:rFonts w:hint="eastAsia" w:ascii="宋体" w:hAnsi="宋体" w:eastAsia="宋体" w:cs="宋体"/>
          <w:color w:val="auto"/>
          <w:sz w:val="24"/>
        </w:rPr>
        <w:t xml:space="preserve">并终止合同；若因承包人原因未按时完成工程进度（特别申明：承包人未按施工进度计划要求完成施工内容）视同承包人违约，发包方有权没收承包人的合同</w:t>
      </w:r>
      <w:r>
        <w:rPr>
          <w:rFonts w:hint="eastAsia" w:ascii="宋体" w:hAnsi="宋体" w:cs="宋体"/>
          <w:color w:val="auto"/>
          <w:sz w:val="24"/>
          <w:lang w:val="en-US" w:eastAsia="zh-CN"/>
        </w:rPr>
        <w:t xml:space="preserve">履约保证金</w:t>
      </w:r>
      <w:r>
        <w:rPr>
          <w:rFonts w:hint="eastAsia" w:ascii="宋体" w:hAnsi="宋体" w:eastAsia="宋体" w:cs="宋体"/>
          <w:color w:val="auto"/>
          <w:sz w:val="24"/>
        </w:rPr>
        <w:t xml:space="preserve">并终止合同，同时进行强制性清场，承包人须无条件撤离施工现场。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（7）施工过程中，如发生扰民及正常施工过程民扰的现象，所产生的费用均由承包单位承担。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（8）因承包人自身原因造成的人员伤害及伤亡，由承包人承担相应责任及经济赔偿。</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0"/>
        <w:spacing w:line="360" w:lineRule="auto"/>
        <w:rPr>
          <w:rFonts w:hint="eastAsia" w:ascii="宋体" w:hAnsi="宋体" w:eastAsia="宋体" w:cs="宋体"/>
          <w:b/>
          <w:color w:val="auto"/>
        </w:rPr>
      </w:pPr>
      <w:r>
        <w:rPr>
          <w:rFonts w:hint="eastAsia" w:ascii="宋体" w:hAnsi="宋体" w:eastAsia="宋体" w:cs="宋体"/>
          <w:bCs/>
          <w:color w:val="auto"/>
        </w:rPr>
        <w:br w:type="page" w:clear="all"/>
      </w:r>
      <w:r>
        <w:rPr>
          <w:rFonts w:hint="eastAsia" w:ascii="宋体" w:hAnsi="宋体" w:eastAsia="宋体" w:cs="宋体"/>
          <w:b/>
          <w:color w:val="auto"/>
        </w:rPr>
        <w:t xml:space="preserve">附件1：</w:t>
      </w:r>
      <w:r/>
    </w:p>
    <w:p>
      <w:pPr>
        <w:pStyle w:val="738"/>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工程质量保修书</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发包人（全称）：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承包人（全称）：</w:t>
      </w:r>
      <w:r>
        <w:rPr>
          <w:rFonts w:hint="eastAsia" w:ascii="宋体" w:hAnsi="宋体" w:eastAsia="宋体" w:cs="宋体"/>
          <w:bCs/>
          <w:color w:val="auto"/>
          <w:u w:val="single"/>
        </w:rPr>
        <w:t xml:space="preserve">                </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为保证</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（工程名称）在合理使用期限内正常使用，发包人承包人协商一致签订工程质量保修书。承包人在质量保修期内按照有关管理规定及双方约定承担工程质量保修责任。</w:t>
      </w:r>
      <w:r/>
    </w:p>
    <w:p>
      <w:pPr>
        <w:pStyle w:val="738"/>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一、工程质量保修范围和内容</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承包人在质量保修期内，按照有关法律规定和合同约定，承担工程质量保修责任。</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质量保修范围：承包人施工的全部内容。</w:t>
      </w:r>
      <w:r/>
    </w:p>
    <w:p>
      <w:pPr>
        <w:pStyle w:val="738"/>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二、质量保修期</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质量保修期从工程实际竣工之日算起。分单项竣工验收的工程，按单项工程分别计算质量保修期。</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双方根据国家有关规定，结合具体工程约定质量保修期如下：</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w:t>
      </w:r>
      <w:r>
        <w:rPr>
          <w:rFonts w:hint="eastAsia" w:ascii="宋体" w:eastAsia="宋体" w:cs="宋体"/>
          <w:bCs/>
          <w:color w:val="auto"/>
          <w:lang w:val="en-US" w:eastAsia="zh-CN"/>
        </w:rPr>
        <w:t xml:space="preserve">装修工</w:t>
      </w:r>
      <w:r>
        <w:rPr>
          <w:rFonts w:hint="eastAsia" w:ascii="宋体" w:hAnsi="宋体" w:eastAsia="宋体" w:cs="宋体"/>
          <w:bCs/>
          <w:color w:val="auto"/>
        </w:rPr>
        <w:t xml:space="preserve">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年，屋面防水工程为</w:t>
      </w:r>
      <w:r>
        <w:rPr>
          <w:rFonts w:hint="eastAsia" w:ascii="宋体" w:hAnsi="宋体" w:eastAsia="宋体" w:cs="宋体"/>
          <w:bCs/>
          <w:color w:val="auto"/>
          <w:u w:val="single"/>
        </w:rPr>
        <w:t xml:space="preserve">   5  </w:t>
      </w:r>
      <w:r>
        <w:rPr>
          <w:rFonts w:hint="eastAsia" w:ascii="宋体" w:hAnsi="宋体" w:eastAsia="宋体" w:cs="宋体"/>
          <w:bCs/>
          <w:color w:val="auto"/>
        </w:rPr>
        <w:t xml:space="preserve">年；</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2、电气管线、上下水管线安装工程为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3、供热及供冷为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个采暖期及供冷期；</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4、室外的上下水和小区道路等市政公用工程为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38"/>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745"/>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pStyle w:val="738"/>
        <w:ind w:firstLine="482"/>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rPr>
        <w:t xml:space="preserve">三、缺陷责任期</w:t>
      </w:r>
      <w:r>
        <w:rPr>
          <w:rFonts w:hint="eastAsia" w:ascii="宋体" w:eastAsia="宋体" w:cs="宋体"/>
          <w:b/>
          <w:bCs/>
          <w:color w:val="auto"/>
          <w:lang w:val="en-US" w:eastAsia="zh-CN"/>
        </w:rPr>
        <w:t xml:space="preserve"> </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工程缺陷责任期为</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24</w:t>
      </w:r>
      <w:r>
        <w:rPr>
          <w:rFonts w:hint="eastAsia" w:ascii="宋体" w:eastAsia="宋体" w:cs="宋体"/>
          <w:bCs/>
          <w:color w:val="auto"/>
          <w:u w:val="single"/>
          <w:lang w:val="en-US" w:eastAsia="zh-CN"/>
        </w:rPr>
        <w:t xml:space="preserve"> </w:t>
      </w:r>
      <w:r>
        <w:rPr>
          <w:rFonts w:hint="eastAsia" w:ascii="宋体" w:hAnsi="宋体" w:eastAsia="宋体" w:cs="宋体"/>
          <w:bCs/>
          <w:color w:val="auto"/>
        </w:rPr>
        <w:t xml:space="preserve">个月，缺陷责任期自工程实际竣工之日起计算。单位工程先于全部工程进行验收，单位工程缺陷责任期自单位工程验收合格之日起算。</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缺陷责任期终止后，发包人应退还剩余的质量保证金（无息）。</w:t>
      </w:r>
      <w:r/>
    </w:p>
    <w:p>
      <w:pPr>
        <w:pStyle w:val="738"/>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四、质量保修责任</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1、属于保修范围和内容的项目，承包人应在接到修理通知之日后7天内派人修理。承包人不在约定期限内，派人修理，发包人可委托其他人员修理，保修费用从质量保证金内扣除。</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2、发生须紧急抢修事故，承包人接到事故通知后，应立即到达事故现场抢修。非承包人施工质量引起的事故，抢修费用由发包人承担。</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4、质量保修完成后，由发包人组织验收。</w:t>
      </w:r>
      <w:r/>
    </w:p>
    <w:p>
      <w:pPr>
        <w:pStyle w:val="738"/>
        <w:ind w:firstLine="482"/>
        <w:spacing w:line="360" w:lineRule="auto"/>
        <w:rPr>
          <w:rFonts w:hint="eastAsia" w:ascii="宋体" w:hAnsi="宋体" w:eastAsia="宋体" w:cs="宋体"/>
          <w:b/>
          <w:color w:val="auto"/>
        </w:rPr>
      </w:pPr>
      <w:r>
        <w:rPr>
          <w:rFonts w:hint="eastAsia" w:ascii="宋体" w:hAnsi="宋体" w:eastAsia="宋体" w:cs="宋体"/>
          <w:b/>
          <w:color w:val="auto"/>
        </w:rPr>
        <w:t xml:space="preserve">五、保修费用</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保修费用由造成质量缺陷的责任方承担。</w:t>
      </w:r>
      <w:r/>
    </w:p>
    <w:p>
      <w:pPr>
        <w:pStyle w:val="738"/>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六、其他</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双方约定的其他工程质量保修事项：</w:t>
      </w:r>
      <w:r>
        <w:rPr>
          <w:rFonts w:hint="eastAsia" w:ascii="宋体" w:hAnsi="宋体" w:eastAsia="宋体" w:cs="宋体"/>
          <w:bCs/>
          <w:color w:val="auto"/>
          <w:u w:val="single"/>
        </w:rPr>
        <w:t xml:space="preserve"> </w:t>
      </w:r>
      <w:r>
        <w:rPr>
          <w:rFonts w:hint="eastAsia" w:ascii="宋体" w:hAnsi="宋体" w:eastAsia="宋体" w:cs="宋体"/>
          <w:color w:val="auto"/>
          <w:u w:val="single"/>
        </w:rPr>
        <w:t xml:space="preserve">按国家规定执行</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工程质量保修书由发包人、承包人在工程竣工验收前共同签署，作为施工合同附件，其有效期限至保修期满。</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  包  人（公章）：                        承  包  人（公章）：</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法定代表人（签字）：                        法定代表人（签字）：</w:t>
      </w:r>
      <w:r/>
    </w:p>
    <w:p>
      <w:pPr>
        <w:pStyle w:val="738"/>
        <w:ind w:firstLine="480"/>
        <w:spacing w:line="360" w:lineRule="auto"/>
        <w:rPr>
          <w:rFonts w:hint="eastAsia" w:ascii="宋体" w:hAnsi="宋体" w:eastAsia="宋体" w:cs="宋体"/>
          <w:bCs/>
          <w:color w:val="auto"/>
        </w:rPr>
      </w:pP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01"/>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附件2：      </w:t>
      </w:r>
      <w:r/>
    </w:p>
    <w:p>
      <w:pPr>
        <w:ind w:firstLine="883"/>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738"/>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安全生产责任承诺书</w:t>
      </w:r>
      <w:r/>
    </w:p>
    <w:p>
      <w:pPr>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（建设单位）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我单位在</w:t>
      </w:r>
      <w:r>
        <w:rPr>
          <w:rFonts w:hint="eastAsia" w:ascii="宋体" w:hAnsi="宋体" w:eastAsia="宋体" w:cs="宋体"/>
          <w:bCs/>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承诺单位（盖章）：</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法定代表人（签字）：</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rPr>
      </w:pPr>
      <w:r>
        <w:rPr>
          <w:rFonts w:hint="eastAsia" w:ascii="宋体" w:hAnsi="宋体" w:eastAsia="宋体" w:cs="宋体"/>
          <w:bCs/>
          <w:color w:val="auto"/>
          <w:spacing w:val="5"/>
          <w:sz w:val="24"/>
        </w:rPr>
        <w:t xml:space="preserve">                      日期：    年  月   日</w:t>
      </w:r>
      <w:r/>
    </w:p>
    <w:p>
      <w:pPr>
        <w:pStyle w:val="718"/>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附件3：</w:t>
      </w:r>
      <w:r/>
    </w:p>
    <w:p>
      <w:pPr>
        <w:pStyle w:val="765"/>
        <w:rPr>
          <w:rFonts w:hint="eastAsia" w:ascii="宋体" w:hAnsi="宋体" w:eastAsia="宋体" w:cs="宋体"/>
          <w:color w:val="auto"/>
        </w:rPr>
      </w:pPr>
      <w:r>
        <w:rPr>
          <w:rFonts w:hint="eastAsia" w:ascii="宋体" w:hAnsi="宋体" w:eastAsia="宋体" w:cs="宋体"/>
          <w:color w:val="auto"/>
        </w:rPr>
      </w:r>
      <w:r/>
    </w:p>
    <w:p>
      <w:pPr>
        <w:pStyle w:val="738"/>
        <w:ind w:firstLine="0"/>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成交人诚信承诺书</w:t>
      </w:r>
      <w:r/>
    </w:p>
    <w:p>
      <w:pPr>
        <w:ind w:firstLine="1446"/>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，作为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采购人）</w:t>
      </w:r>
      <w:r>
        <w:rPr>
          <w:rFonts w:hint="eastAsia" w:ascii="宋体" w:hAnsi="宋体" w:eastAsia="宋体" w:cs="宋体"/>
          <w:color w:val="auto"/>
          <w:sz w:val="24"/>
          <w:u w:val="single"/>
        </w:rPr>
        <w:t xml:space="preserve">    项目 </w:t>
      </w:r>
      <w:r>
        <w:rPr>
          <w:rFonts w:hint="eastAsia" w:ascii="宋体" w:hAnsi="宋体" w:eastAsia="宋体" w:cs="宋体"/>
          <w:color w:val="auto"/>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left="240" w:hanging="24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                     项目负责人（签字）：</w:t>
      </w:r>
      <w:r>
        <w:rPr>
          <w:rFonts w:hint="eastAsia" w:ascii="宋体" w:hAnsi="宋体" w:eastAsia="宋体" w:cs="宋体"/>
          <w:color w:val="auto"/>
          <w:sz w:val="24"/>
          <w:u w:val="single"/>
        </w:rPr>
        <w:t xml:space="preserve">             </w:t>
      </w:r>
      <w:r/>
    </w:p>
    <w:p>
      <w:pPr>
        <w:ind w:firstLine="25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中标人法人代表（签字）：</w:t>
      </w:r>
      <w:r>
        <w:rPr>
          <w:rFonts w:hint="eastAsia" w:ascii="宋体" w:hAnsi="宋体" w:eastAsia="宋体" w:cs="宋体"/>
          <w:color w:val="auto"/>
          <w:sz w:val="24"/>
          <w:u w:val="single"/>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公   章</w:t>
      </w:r>
      <w:r/>
    </w:p>
    <w:p>
      <w:pPr>
        <w:pStyle w:val="765"/>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年   月    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2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附件4</w:t>
      </w:r>
      <w:r/>
    </w:p>
    <w:p>
      <w:pPr>
        <w:pStyle w:val="738"/>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不拖欠农民工工资承诺书</w:t>
      </w:r>
      <w:r/>
    </w:p>
    <w:p>
      <w:pPr>
        <w:ind w:firstLine="422"/>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致：</w:t>
      </w:r>
      <w:r>
        <w:rPr>
          <w:rFonts w:hint="eastAsia" w:ascii="宋体" w:hAnsi="宋体" w:eastAsia="宋体" w:cs="宋体"/>
          <w:color w:val="auto"/>
          <w:szCs w:val="24"/>
          <w:u w:val="single"/>
        </w:rPr>
        <w:t xml:space="preserve">                           </w:t>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为保护农民工的合法权益，不拖欠农民工工资，本人</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（法定代表人姓名）以</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（承包人全称）法定代表人的资格，郑重承诺：</w:t>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本单位中标承建（项目名称）需要使用农民工时，将保证做到：</w:t>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1、按照《劳动法》规定雇用和使用农民工，工资将直接发给农民工本人，严禁发放给“包工头”。</w:t>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3、严格遵守国家和地方关于农民工工资的其他有关规定。</w:t>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89"/>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89"/>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承包人（公章）： </w:t>
      </w:r>
      <w:r/>
    </w:p>
    <w:p>
      <w:pPr>
        <w:pStyle w:val="989"/>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法定代表人（签字）：</w:t>
      </w:r>
      <w:r/>
    </w:p>
    <w:p>
      <w:pPr>
        <w:pStyle w:val="989"/>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日  期：     年  月   日</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  </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附件5</w:t>
      </w:r>
      <w:r/>
    </w:p>
    <w:p>
      <w:pPr>
        <w:jc w:val="cente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工程安全环境管理协议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w:t>
      </w:r>
      <w:r>
        <w:rPr>
          <w:rFonts w:hint="eastAsia" w:ascii="宋体" w:hAnsi="宋体" w:eastAsia="宋体" w:cs="宋体"/>
          <w:color w:val="auto"/>
          <w:sz w:val="24"/>
          <w:szCs w:val="24"/>
          <w:u w:val="single"/>
        </w:rPr>
        <w:t xml:space="preserve">                     </w:t>
      </w:r>
      <w:r/>
    </w:p>
    <w:p>
      <w:pPr>
        <w:ind w:firstLine="4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1、安全文明施工管理目标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（1）杜绝重伤及以上事故；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（2）杜绝重大机械设备事故；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（3）杜绝重大火灾事故；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（4）杜绝负主要责任的重大交通事故；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（5）杜绝重复发生相同性质的事故；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（6）创建安全文明施工样板工程；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（7）杜绝重大设备损坏事故。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2、安全文明施工和环境管理执行标准：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以下标准双方均应认真执行：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（1）《建设工程安全管理条例》；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（2）国家有关部、委、各级政府部门和上级主管部门颁发的有关安全生产和环境保护工作的法令、法规、规定、制度；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（3）发包人有关安全文明施工及环境保护的规定、制度。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（1）发包人按有关规定对承包人的资质进行审查，确认承包人承包的工程与其资质相符合；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（2）发包人在施工前负责审核承包人的施工组织设计；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（4）对承包人在施工中新增的施工人员，发包人有权按以上要求进行检查；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（5）施工前发包人有权对承包人的电动工器具、仪表等进行抽样检查；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（8）发包人不得要求承包人违反安全管理规定进行施工。因发包人原因导致事故由发包人承担责任；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（9）由发包人提供的机械设备、安全设施，在安装完毕提交使用前，发包人应配合承包人共同按规定验收，并做好验收及交付使用的书面手续。</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（1）承包人需根据现场的实际开工情况，找出危险源，列出《风险源清单》，根据风险的大小，编制《施工现场工作风险评估》；</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（4）承包人在项目施工开始前要根据《施工组织设计》或《安全施工方案（措施）》向施工人员进行安全技术交底；</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（7）承包人施工人员应经安规考试合格后上岗；</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（8）承包人施工人员应对所在的施工区域、作业环境、操作设施设备、工器具等进行认真检查，发现隐患立即处理，落实整改措施；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（9）承包人在施工期间由于施工机械、工器具原因或使用操作不当而造成伤亡事故，由承包人负责；</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（10）承包人对施工现场安全设施（如脚手架等）每天开工前必须检查，发现隐患及时整改；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（12）承包人必须按规定为作业人员配备应有的劳动保护用品、用具。承包人所属人员的身体健康状况必须能满足所从事工作的要求；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7、其他</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（1）承包人工程施工方案中必须包括安全、健康、环保等措施，并贯彻落实到具体工作中，确保施工安全及当地环境不受工程施工破坏；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（2）施工过程中产生的废弃物、噪音等排放必须符合相关规定标准；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（3）由于承包人施工破坏周围环境，造成恶劣影响引发纠纷和社会矛盾等由承包人承担全部责任；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（4）承包人按月（年）向发包人报送企业职工伤亡事故月（年）报告；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（5）对发包人组织的安全环境大检查、安全工作会议，承包人应及时派员参加，认真贯彻落实；</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8、本协议执行过程中如遇有与国家、交通部和地方政府的有关规定不一致时，按国家、交通部和地方政府的有关规定执行；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9、本协议经甲乙双方签字、盖章后生效，作为工程合同的附件与合同具有同等的法律效力；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10、甲乙双方必须严格执行本协议，因违反本协议而造成设备、伤亡事故，由违约方承担一切经济损失。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发包人（盖章）：                       承包人（盖章）：</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发包人安全第一责任人（签字）：         承包人安全第一责任人（签字）：</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签约日期：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1"/>
        <w:ind w:firstLine="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附件6</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工程廉政合同</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（以下简称“发包人”）与中标单位（全称）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（以下简称“承包人”），特订立如下合同。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1、甲乙双方的权利和义务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（1）严格遵守党的政策规定和国家、省、市有关法律法规有关规定。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（2）严格执行工程的合同文件，自觉按合同办事。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（4）建立健全廉政制度，开展廉政教育，设计廉政告示牌，公布举报电话，监督并认真查处违法违纪行为。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（5）发现对方在业务活动中有违反廉政规定的行为，有及时提醒对方纠正的权利和义务。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（6）发现对方严重违反合同义务条款的行为，有向其上级有关部门举报、建议给予处理并要求告知 处理结果的权利。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2、发包人的义务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（4）发包人工作人员及其配偶、子女不得从事与发包人工程有关的材料设备供应、工程分包、劳务等经济活动等。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（5）发包人及其工作人员不得以任何理由向承包人推荐分包单位或推销材料，不得要求承包人购买合同规定外的材料和设备。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（6）发包人工作人员要秉公办事，不准营私舞弊，不准利用职权从事各种个人有偿中介活动和安排个人施工队伍。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（1）承包人不得以任何理由向发包人及其工作人员行贿或馈赠礼金、有价证券、贵重礼品。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（2）承包人不得以任何名义为发包人及其工作人员报销应由发包人单位或个人支付的任何费用。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（3）承包人不得以任何理由安排发包人工作人员参加超标准宴请及娱乐活动。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（4）承包人不得为发包人单位和个人购置或提供通讯工具、交通工具和高档办公用品等。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4、违约责任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6、本合同有效期为甲乙双方签署之日起至该工程项目竣工验收后止。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7、本合同作为工程施工合同的附件，与工程施工合同具有同等的法律效力，经合同双方签署立即生效。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8、本合同一式四份，由甲乙双方各执一份，送交甲乙双方的监督单位各一份。</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51"/>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51"/>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发包人（盖章）                     承包人（盖章）              </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法定代表人（签字或盖章）：         法定代表人（签字或盖章）：　　　　 　</w:t>
      </w:r>
      <w:r/>
    </w:p>
    <w:p>
      <w:pPr>
        <w:contextualSpacing/>
        <w:spacing w:line="360" w:lineRule="auto"/>
        <w:rPr>
          <w:rFonts w:hint="eastAsia" w:ascii="宋体" w:hAnsi="宋体" w:eastAsia="宋体" w:cs="宋体"/>
          <w:color w:val="auto"/>
        </w:rPr>
      </w:pPr>
      <w:r>
        <w:rPr>
          <w:rFonts w:hint="eastAsia" w:ascii="宋体" w:hAnsi="宋体" w:eastAsia="宋体" w:cs="宋体"/>
          <w:color w:val="auto"/>
          <w:sz w:val="24"/>
          <w:szCs w:val="28"/>
        </w:rPr>
        <w:t xml:space="preserve">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rPr>
          <w:rFonts w:hint="eastAsia" w:ascii="宋体" w:hAnsi="宋体" w:eastAsia="宋体" w:cs="宋体"/>
          <w:color w:val="auto"/>
          <w:sz w:val="24"/>
          <w:szCs w:val="28"/>
        </w:rPr>
        <w:t xml:space="preserve">      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p>
    <w:p>
      <w:pPr>
        <w:pStyle w:val="701"/>
        <w:jc w:val="center"/>
        <w:spacing w:line="360" w:lineRule="auto"/>
        <w:rPr>
          <w:rFonts w:hint="eastAsia" w:ascii="宋体" w:hAnsi="宋体" w:eastAsia="宋体" w:cs="宋体"/>
          <w:color w:val="auto"/>
        </w:rPr>
      </w:pPr>
      <w:r>
        <w:rPr>
          <w:rFonts w:hint="eastAsia" w:ascii="宋体" w:hAnsi="宋体" w:eastAsia="宋体" w:cs="宋体"/>
          <w:color w:val="auto"/>
          <w:sz w:val="24"/>
          <w:szCs w:val="24"/>
        </w:rPr>
        <w:br w:type="page" w:clear="all"/>
      </w:r>
      <w:bookmarkEnd w:id="196"/>
      <w:r/>
      <w:bookmarkEnd w:id="197"/>
      <w:r/>
      <w:bookmarkEnd w:id="198"/>
      <w:r/>
      <w:bookmarkStart w:id="713" w:name="_Toc17822"/>
      <w:r/>
      <w:bookmarkStart w:id="714" w:name="_Toc25586"/>
      <w:r/>
      <w:bookmarkStart w:id="715" w:name="_Toc6321"/>
      <w:r/>
      <w:bookmarkStart w:id="716" w:name="_Toc779"/>
      <w:r/>
      <w:bookmarkStart w:id="717" w:name="_Toc24829"/>
      <w:r/>
      <w:bookmarkStart w:id="718" w:name="_Toc24477"/>
      <w:r/>
      <w:bookmarkStart w:id="719" w:name="_Toc25546"/>
      <w:r/>
      <w:bookmarkStart w:id="720" w:name="_Toc21787"/>
      <w:r/>
      <w:bookmarkStart w:id="721" w:name="_Toc16165"/>
      <w:r/>
      <w:bookmarkStart w:id="722" w:name="_Toc465856615"/>
      <w:r/>
      <w:bookmarkStart w:id="723" w:name="_Toc31702"/>
      <w:r/>
      <w:bookmarkStart w:id="724" w:name="_Toc25773"/>
      <w:r>
        <w:rPr>
          <w:rFonts w:hint="eastAsia" w:ascii="宋体" w:hAnsi="宋体" w:eastAsia="宋体" w:cs="宋体"/>
          <w:b/>
          <w:bCs/>
          <w:color w:val="auto"/>
          <w:sz w:val="40"/>
          <w:szCs w:val="40"/>
        </w:rPr>
        <w:t xml:space="preserve">第四章 技术标准和要求</w:t>
      </w:r>
      <w:bookmarkEnd w:id="713"/>
      <w:r/>
      <w:bookmarkEnd w:id="714"/>
      <w:r/>
      <w:bookmarkEnd w:id="715"/>
      <w:r/>
      <w:bookmarkEnd w:id="716"/>
      <w:r/>
      <w:bookmarkEnd w:id="717"/>
      <w:r/>
      <w:bookmarkEnd w:id="718"/>
      <w:r/>
      <w:bookmarkEnd w:id="719"/>
      <w:r/>
      <w:bookmarkEnd w:id="720"/>
      <w:r/>
      <w:bookmarkEnd w:id="721"/>
      <w:r/>
      <w:r/>
    </w:p>
    <w:p>
      <w:pPr>
        <w:numPr>
          <w:ilvl w:val="0"/>
          <w:numId w:val="7"/>
        </w:numPr>
        <w:ind w:firstLine="482"/>
        <w:spacing w:line="360" w:lineRule="auto"/>
        <w:rPr>
          <w:rFonts w:hint="eastAsia" w:ascii="宋体" w:hAnsi="宋体" w:eastAsia="宋体" w:cs="宋体"/>
          <w:b/>
          <w:color w:val="auto"/>
          <w:sz w:val="24"/>
        </w:rPr>
        <w:outlineLvl w:val="1"/>
      </w:pPr>
      <w:r/>
      <w:bookmarkStart w:id="725" w:name="_Toc12989"/>
      <w:r/>
      <w:bookmarkStart w:id="726" w:name="_Toc31426"/>
      <w:r/>
      <w:bookmarkStart w:id="727" w:name="_Toc28426"/>
      <w:r>
        <w:rPr>
          <w:rFonts w:hint="eastAsia" w:ascii="宋体" w:hAnsi="宋体" w:eastAsia="宋体" w:cs="宋体"/>
          <w:b/>
          <w:color w:val="auto"/>
          <w:sz w:val="24"/>
        </w:rPr>
        <w:t xml:space="preserve">说明：</w:t>
      </w:r>
      <w:bookmarkEnd w:id="725"/>
      <w:r/>
      <w:bookmarkEnd w:id="726"/>
      <w:r/>
      <w:bookmarkEnd w:id="727"/>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1、本项目采购方式为</w:t>
      </w:r>
      <w:r>
        <w:rPr>
          <w:rFonts w:hint="eastAsia" w:ascii="宋体" w:hAnsi="宋体" w:eastAsia="宋体" w:cs="宋体"/>
          <w:b/>
          <w:bCs/>
          <w:color w:val="auto"/>
          <w:sz w:val="24"/>
          <w:u w:val="single"/>
        </w:rPr>
        <w:t xml:space="preserve">竞争性磋商</w:t>
      </w:r>
      <w:r>
        <w:rPr>
          <w:rFonts w:hint="eastAsia" w:ascii="宋体" w:hAnsi="宋体" w:eastAsia="宋体" w:cs="宋体"/>
          <w:color w:val="auto"/>
          <w:sz w:val="24"/>
        </w:rPr>
        <w:t xml:space="preserve">，项目属性为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rPr>
        <w:t xml:space="preserve">工程</w:t>
      </w:r>
      <w:r>
        <w:rPr>
          <w:rFonts w:hint="eastAsia" w:ascii="宋体" w:hAnsi="宋体" w:eastAsia="宋体" w:cs="宋体"/>
          <w:color w:val="auto"/>
          <w:sz w:val="24"/>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2、本项目采购标的对应的中小企业划分标准所属行业为</w:t>
      </w:r>
      <w:r>
        <w:rPr>
          <w:rFonts w:hint="eastAsia" w:ascii="宋体" w:hAnsi="宋体" w:eastAsia="宋体" w:cs="宋体"/>
          <w:color w:val="auto"/>
          <w:sz w:val="24"/>
          <w:highlight w:val="none"/>
          <w:u w:val="single"/>
        </w:rPr>
        <w:t xml:space="preserve">　建筑业　</w:t>
      </w:r>
      <w:r>
        <w:rPr>
          <w:rFonts w:hint="eastAsia" w:ascii="宋体" w:hAnsi="宋体" w:eastAsia="宋体" w:cs="宋体"/>
          <w:color w:val="auto"/>
          <w:sz w:val="24"/>
          <w:highlight w:val="none"/>
        </w:rPr>
        <w:t xml:space="preserve">。</w:t>
      </w:r>
      <w:r/>
    </w:p>
    <w:p>
      <w:pPr>
        <w:numPr>
          <w:ilvl w:val="0"/>
          <w:numId w:val="7"/>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技术标准和要求</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highlight w:val="none"/>
        </w:rPr>
        <w:t xml:space="preserve">详见本工程施工图说明以及国家有关的工程建设标准强制性条文。</w:t>
      </w:r>
      <w:r>
        <w:rPr>
          <w:rFonts w:hint="eastAsia" w:ascii="宋体" w:hAnsi="宋体" w:eastAsia="宋体" w:cs="宋体"/>
          <w:b/>
          <w:color w:val="auto"/>
          <w:sz w:val="24"/>
          <w:highlight w:val="none"/>
        </w:rPr>
        <w:fldChar w:fldCharType="end"/>
      </w:r>
      <w:r/>
    </w:p>
    <w:p>
      <w:pPr>
        <w:numPr>
          <w:ilvl w:val="0"/>
          <w:numId w:val="7"/>
        </w:numPr>
        <w:ind w:firstLine="482"/>
        <w:spacing w:line="360" w:lineRule="auto"/>
        <w:rPr>
          <w:rFonts w:hint="eastAsia" w:ascii="宋体" w:hAnsi="宋体" w:eastAsia="宋体" w:cs="宋体"/>
          <w:b/>
          <w:bCs/>
          <w:color w:val="auto"/>
          <w:sz w:val="24"/>
          <w:highlight w:val="none"/>
        </w:rPr>
        <w:outlineLvl w:val="1"/>
      </w:pPr>
      <w:r/>
      <w:bookmarkStart w:id="728" w:name="_Toc29935"/>
      <w:r/>
      <w:bookmarkStart w:id="729" w:name="_Toc7417"/>
      <w:r/>
      <w:bookmarkStart w:id="730" w:name="_Toc10393"/>
      <w:r>
        <w:rPr>
          <w:rFonts w:hint="eastAsia" w:ascii="宋体" w:hAnsi="宋体" w:eastAsia="宋体" w:cs="宋体"/>
          <w:b/>
          <w:bCs/>
          <w:color w:val="auto"/>
          <w:sz w:val="24"/>
          <w:highlight w:val="none"/>
        </w:rPr>
        <w:t xml:space="preserve">工程建设标准及技术规范</w:t>
      </w:r>
      <w:bookmarkEnd w:id="728"/>
      <w:r/>
      <w:bookmarkEnd w:id="729"/>
      <w:r/>
      <w:bookmarkEnd w:id="73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（一）本工程采用的计价规范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1、《建设工程工程量清单计价规范》（GB50500-2013）；</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2、《房屋建筑与装饰工程工程量计算规范》（GB50854-2013)</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、《市政工程计量规范》（GB50857—2013）；</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、《通用安装工程工程量计算规范》（GB50856—2013）；</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5、《江苏省建设工程费用定额》（2014）；</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6、《江苏省建筑与装饰工程计价定额》（2014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、《江苏省市政工程计价定额》（2014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《江苏省安装工程计价定额》（2014</w:t>
      </w:r>
      <w:r>
        <w:rPr>
          <w:rFonts w:hint="eastAsia" w:ascii="宋体" w:hAnsi="宋体" w:cs="宋体"/>
          <w:color w:val="auto"/>
          <w:sz w:val="24"/>
          <w:highlight w:val="none"/>
          <w:lang w:val="en-US" w:eastAsia="zh-CN"/>
        </w:rPr>
        <w:t xml:space="preserve">版</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、《江苏省建设工程费用定额》（2016年营改增调整后）；</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《关于建筑业实施营改增后江苏省建设工程计价依据调整的通知》（苏建价【2016】154号文）</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、省、市现行的相关其它计价文件。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（二）本工程采用的技术规范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1、《建筑工程施工质量验收统一标准》GB50300-2013</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2、《建筑装饰装修工程质量验收规范》GB50210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3、《建筑节能工程施工质量验收规范》GB50411</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4、《建筑工程施工质量验收统一标准》(DB13(J)53-2005)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5、《房屋修缮工程施工质量验收规程》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其他详见施工图说明以及国家有关的工程建设标准强制性条文。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1、同类标准中若国家有新颁布实施的，按新标准执</w:t>
      </w:r>
      <w:r>
        <w:rPr>
          <w:rFonts w:hint="eastAsia" w:ascii="宋体" w:hAnsi="宋体" w:eastAsia="宋体" w:cs="宋体"/>
          <w:color w:val="auto"/>
          <w:sz w:val="24"/>
        </w:rPr>
        <w:t xml:space="preserve">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2、若没有国颁标准的，按相应的行业标准执行。</w:t>
      </w:r>
      <w:r/>
    </w:p>
    <w:p>
      <w:pPr>
        <w:spacing w:line="360" w:lineRule="auto"/>
        <w:rPr>
          <w:rFonts w:hint="default" w:ascii="宋体" w:hAnsi="宋体" w:cs="宋体"/>
          <w:color w:val="auto"/>
          <w:sz w:val="24"/>
          <w:lang w:val="en-US" w:eastAsia="zh-CN"/>
        </w:rPr>
      </w:pPr>
      <w:r>
        <w:rPr>
          <w:rFonts w:hint="default" w:ascii="宋体" w:hAnsi="宋体" w:cs="宋体"/>
          <w:color w:val="auto"/>
          <w:sz w:val="24"/>
          <w:lang w:val="en-US" w:eastAsia="zh-CN"/>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731" w:name="_Toc153678434"/>
      <w:r/>
      <w:bookmarkStart w:id="732" w:name="_Toc142708871"/>
      <w:r/>
      <w:bookmarkStart w:id="733" w:name="_Toc24242"/>
      <w:r/>
      <w:bookmarkStart w:id="734" w:name="_Toc12471"/>
      <w:r/>
      <w:bookmarkStart w:id="735" w:name="_Toc28113"/>
      <w:r/>
      <w:bookmarkStart w:id="736" w:name="_Toc28603"/>
      <w:r/>
      <w:bookmarkStart w:id="737" w:name="_Toc224532089"/>
      <w:r/>
      <w:bookmarkStart w:id="738" w:name="_Toc515874992"/>
      <w:r/>
      <w:bookmarkStart w:id="739" w:name="_Toc508"/>
      <w:r/>
      <w:bookmarkStart w:id="740" w:name="_Toc204595694"/>
      <w:r/>
      <w:bookmarkStart w:id="741" w:name="_Toc7514"/>
      <w:r/>
      <w:bookmarkStart w:id="742" w:name="_Toc28657"/>
      <w:r/>
      <w:bookmarkStart w:id="743" w:name="_Toc11922"/>
      <w:r/>
      <w:bookmarkStart w:id="744" w:name="_Toc2161"/>
      <w:r/>
      <w:bookmarkStart w:id="745" w:name="_Toc20724"/>
      <w:r>
        <w:rPr>
          <w:rStyle w:val="933"/>
          <w:rFonts w:hint="eastAsia" w:ascii="宋体" w:hAnsi="宋体" w:eastAsia="宋体" w:cs="宋体"/>
          <w:b/>
          <w:bCs/>
          <w:color w:val="auto"/>
          <w:sz w:val="40"/>
          <w:szCs w:val="40"/>
          <w:lang w:val="en-US" w:eastAsia="zh-CN"/>
        </w:rPr>
        <w:t xml:space="preserve">第五章 </w:t>
      </w:r>
      <w:bookmarkEnd w:id="731"/>
      <w:r/>
      <w:bookmarkEnd w:id="732"/>
      <w:r>
        <w:rPr>
          <w:rStyle w:val="933"/>
          <w:rFonts w:hint="eastAsia" w:ascii="宋体" w:hAnsi="宋体" w:eastAsia="宋体" w:cs="宋体"/>
          <w:b/>
          <w:bCs/>
          <w:color w:val="auto"/>
          <w:sz w:val="40"/>
          <w:szCs w:val="40"/>
          <w:lang w:val="en-US" w:eastAsia="zh-CN"/>
        </w:rPr>
        <w:t xml:space="preserve">工程量清单</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Style w:val="933"/>
          <w:rFonts w:hint="eastAsia" w:ascii="宋体" w:hAnsi="宋体" w:eastAsia="宋体" w:cs="宋体"/>
          <w:b/>
          <w:bCs/>
          <w:color w:val="auto"/>
          <w:sz w:val="40"/>
          <w:szCs w:val="40"/>
          <w:lang w:val="en-US" w:eastAsia="zh-CN"/>
        </w:rPr>
        <w:t xml:space="preserve">（另附）</w:t>
      </w:r>
      <w:r/>
    </w:p>
    <w:p>
      <w:pPr>
        <w:spacing w:line="360" w:lineRule="auto"/>
        <w:rPr>
          <w:rFonts w:hint="eastAsia" w:ascii="宋体" w:hAnsi="宋体" w:eastAsia="宋体" w:cs="宋体"/>
          <w:color w:val="auto"/>
          <w:sz w:val="24"/>
          <w:szCs w:val="32"/>
        </w:rPr>
      </w:pPr>
      <w:r/>
      <w:bookmarkStart w:id="746" w:name="_Toc9612"/>
      <w:r/>
      <w:bookmarkStart w:id="747" w:name="_Toc204595695"/>
      <w:r/>
      <w:bookmarkStart w:id="748" w:name="_Toc224532090"/>
      <w:r/>
      <w:bookmarkStart w:id="749" w:name="_Toc515874993"/>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jc w:val="center"/>
        <w:spacing w:line="360" w:lineRule="auto"/>
        <w:rPr>
          <w:rStyle w:val="933"/>
          <w:rFonts w:hint="eastAsia" w:ascii="宋体" w:hAnsi="宋体" w:eastAsia="宋体" w:cs="宋体"/>
          <w:b/>
          <w:bCs/>
          <w:color w:val="auto"/>
          <w:sz w:val="40"/>
          <w:szCs w:val="40"/>
          <w:lang w:val="en-US" w:eastAsia="zh-CN"/>
        </w:rPr>
        <w:outlineLvl w:val="0"/>
      </w:pPr>
      <w:r/>
      <w:bookmarkStart w:id="750" w:name="_Toc32288"/>
      <w:r/>
      <w:bookmarkStart w:id="751" w:name="_Toc3928"/>
      <w:r/>
      <w:bookmarkStart w:id="752" w:name="_Toc20526"/>
      <w:r/>
      <w:bookmarkStart w:id="753" w:name="_Toc28828"/>
      <w:r/>
      <w:bookmarkStart w:id="754" w:name="_Toc24455"/>
      <w:r/>
      <w:bookmarkStart w:id="755" w:name="_Toc29833"/>
      <w:r/>
      <w:bookmarkStart w:id="756" w:name="_Toc8814"/>
      <w:r/>
      <w:bookmarkStart w:id="757" w:name="_Toc31689"/>
      <w:r/>
      <w:bookmarkStart w:id="758" w:name="_Toc17741"/>
      <w:r>
        <w:rPr>
          <w:rStyle w:val="933"/>
          <w:rFonts w:hint="eastAsia" w:ascii="宋体" w:hAnsi="宋体" w:eastAsia="宋体" w:cs="宋体"/>
          <w:b/>
          <w:bCs/>
          <w:color w:val="auto"/>
          <w:sz w:val="40"/>
          <w:szCs w:val="40"/>
          <w:lang w:val="en-US" w:eastAsia="zh-CN"/>
        </w:rPr>
        <w:t xml:space="preserve">第六章 图纸和技术资料</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rPr>
          <w:rStyle w:val="933"/>
          <w:rFonts w:hint="eastAsia" w:ascii="宋体" w:hAnsi="宋体" w:eastAsia="宋体" w:cs="宋体"/>
          <w:b/>
          <w:bCs/>
          <w:color w:val="auto"/>
          <w:sz w:val="40"/>
          <w:szCs w:val="40"/>
          <w:lang w:val="en-US" w:eastAsia="zh-CN"/>
        </w:rPr>
        <w:t xml:space="preserve">（另附）</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25"/>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5"/>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5"/>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01"/>
        <w:jc w:val="center"/>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759" w:name="_Toc30065"/>
      <w:r/>
      <w:bookmarkStart w:id="760" w:name="_Toc20912"/>
      <w:r/>
      <w:bookmarkStart w:id="761" w:name="_Toc14930"/>
      <w:r/>
      <w:bookmarkStart w:id="762" w:name="_Toc27020"/>
      <w:r/>
      <w:bookmarkStart w:id="763" w:name="_Toc22241"/>
      <w:r/>
      <w:bookmarkStart w:id="764" w:name="_Toc15798"/>
      <w:r/>
      <w:bookmarkStart w:id="765" w:name="_Toc6240"/>
      <w:r/>
      <w:bookmarkStart w:id="766" w:name="_Toc21157"/>
      <w:r/>
      <w:bookmarkStart w:id="767" w:name="_Toc18685"/>
      <w:r>
        <w:rPr>
          <w:rStyle w:val="933"/>
          <w:rFonts w:hint="eastAsia" w:ascii="宋体" w:hAnsi="宋体" w:eastAsia="宋体" w:cs="宋体"/>
          <w:b/>
          <w:bCs/>
          <w:color w:val="auto"/>
          <w:sz w:val="40"/>
          <w:szCs w:val="40"/>
          <w:lang w:val="en-US" w:eastAsia="zh-CN"/>
        </w:rPr>
        <w:t xml:space="preserve">第七章 评审方法和评审标准</w:t>
      </w:r>
      <w:bookmarkEnd w:id="722"/>
      <w:r/>
      <w:bookmarkEnd w:id="723"/>
      <w:r/>
      <w:bookmarkEnd w:id="724"/>
      <w:r/>
      <w:bookmarkEnd w:id="759"/>
      <w:r/>
      <w:bookmarkEnd w:id="760"/>
      <w:r/>
      <w:bookmarkEnd w:id="761"/>
      <w:r/>
      <w:bookmarkEnd w:id="762"/>
      <w:r/>
      <w:bookmarkEnd w:id="763"/>
      <w:r/>
      <w:bookmarkEnd w:id="764"/>
      <w:r/>
      <w:bookmarkEnd w:id="765"/>
      <w:r/>
      <w:bookmarkEnd w:id="766"/>
      <w:r/>
      <w:bookmarkEnd w:id="767"/>
      <w:r/>
      <w:r/>
    </w:p>
    <w:p>
      <w:pPr>
        <w:pStyle w:val="990"/>
        <w:ind w:firstLine="482"/>
        <w:spacing w:before="0" w:after="0"/>
        <w:rPr>
          <w:rFonts w:ascii="宋体" w:hAnsi="宋体" w:cs="宋体"/>
          <w:b/>
          <w:color w:val="auto"/>
          <w:highlight w:val="none"/>
        </w:rPr>
      </w:pPr>
      <w:r/>
      <w:bookmarkStart w:id="768" w:name="_Toc22025"/>
      <w:r/>
      <w:bookmarkStart w:id="769" w:name="_Toc23868"/>
      <w:r/>
      <w:bookmarkStart w:id="770" w:name="_Toc12286"/>
      <w:r>
        <w:rPr>
          <w:rFonts w:hint="eastAsia" w:ascii="宋体" w:hAnsi="宋体" w:cs="宋体"/>
          <w:b/>
          <w:color w:val="auto"/>
          <w:highlight w:val="none"/>
        </w:rPr>
        <w:t xml:space="preserve">一、政府采购政策功能落实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b/>
          <w:color w:val="auto"/>
        </w:rPr>
      </w:pPr>
      <w:r>
        <w:rPr>
          <w:rFonts w:hint="eastAsia" w:ascii="宋体" w:hAnsi="宋体" w:cs="宋体"/>
          <w:color w:val="auto"/>
          <w:sz w:val="24"/>
          <w:highlight w:val="none"/>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990"/>
        <w:ind w:firstLine="482"/>
        <w:spacing w:before="0" w:after="0"/>
        <w:rPr>
          <w:rFonts w:hint="eastAsia" w:ascii="宋体" w:hAnsi="宋体" w:eastAsia="宋体" w:cs="宋体"/>
          <w:b/>
          <w:color w:val="auto"/>
        </w:rPr>
        <w:outlineLvl w:val="1"/>
      </w:pPr>
      <w:r>
        <w:rPr>
          <w:rFonts w:hint="eastAsia" w:ascii="宋体" w:hAnsi="宋体" w:cs="宋体"/>
          <w:b/>
          <w:color w:val="auto"/>
          <w:lang w:val="en-US" w:eastAsia="zh-CN"/>
        </w:rPr>
        <w:t xml:space="preserve">二、</w:t>
      </w:r>
      <w:r>
        <w:rPr>
          <w:rFonts w:hint="eastAsia" w:ascii="宋体" w:hAnsi="宋体" w:eastAsia="宋体" w:cs="宋体"/>
          <w:b/>
          <w:color w:val="auto"/>
        </w:rPr>
        <w:t xml:space="preserve">磋商小组：</w:t>
      </w:r>
      <w:bookmarkEnd w:id="768"/>
      <w:r/>
      <w:bookmarkEnd w:id="769"/>
      <w:r/>
      <w:bookmarkEnd w:id="770"/>
      <w:r/>
      <w:r/>
    </w:p>
    <w:p>
      <w:pPr>
        <w:pStyle w:val="990"/>
        <w:ind w:firstLine="482"/>
        <w:spacing w:before="0" w:after="0"/>
        <w:rPr>
          <w:rFonts w:hint="eastAsia" w:ascii="宋体" w:hAnsi="宋体" w:eastAsia="宋体" w:cs="宋体"/>
          <w:color w:val="auto"/>
        </w:rPr>
      </w:pPr>
      <w:r>
        <w:rPr>
          <w:rFonts w:hint="eastAsia" w:ascii="宋体" w:hAnsi="宋体" w:eastAsia="宋体" w:cs="宋体"/>
          <w:bCs/>
          <w:color w:val="auto"/>
        </w:rPr>
        <w:t xml:space="preserve">本采购项目磋商小组的评委由相关的专家、采购人代表等有关人员构成。</w:t>
      </w:r>
      <w:r/>
    </w:p>
    <w:p>
      <w:pPr>
        <w:pStyle w:val="990"/>
        <w:ind w:firstLine="482"/>
        <w:spacing w:before="0" w:after="0"/>
        <w:rPr>
          <w:rFonts w:hint="eastAsia" w:ascii="宋体" w:hAnsi="宋体" w:eastAsia="宋体" w:cs="宋体"/>
          <w:b/>
          <w:color w:val="auto"/>
        </w:rPr>
        <w:outlineLvl w:val="1"/>
      </w:pPr>
      <w:r/>
      <w:bookmarkStart w:id="771" w:name="_Toc9713"/>
      <w:r/>
      <w:bookmarkStart w:id="772" w:name="_Toc3129"/>
      <w:r/>
      <w:bookmarkStart w:id="773" w:name="_Toc29549"/>
      <w:r>
        <w:rPr>
          <w:rFonts w:hint="eastAsia" w:ascii="宋体" w:hAnsi="宋体" w:cs="宋体"/>
          <w:b/>
          <w:color w:val="auto"/>
          <w:lang w:val="en-US" w:eastAsia="zh-CN"/>
        </w:rPr>
        <w:t xml:space="preserve">三</w:t>
      </w:r>
      <w:r>
        <w:rPr>
          <w:rFonts w:hint="eastAsia" w:ascii="宋体" w:hAnsi="宋体" w:eastAsia="宋体" w:cs="宋体"/>
          <w:b/>
          <w:color w:val="auto"/>
        </w:rPr>
        <w:t xml:space="preserve">、评审方法：</w:t>
      </w:r>
      <w:r>
        <w:rPr>
          <w:rFonts w:hint="eastAsia" w:ascii="宋体" w:hAnsi="宋体" w:eastAsia="宋体" w:cs="宋体"/>
          <w:b/>
          <w:bCs/>
          <w:color w:val="auto"/>
        </w:rPr>
        <w:t xml:space="preserve">综合评分法</w:t>
      </w:r>
      <w:bookmarkEnd w:id="771"/>
      <w:r/>
      <w:bookmarkEnd w:id="772"/>
      <w:r/>
      <w:bookmarkEnd w:id="773"/>
      <w:r/>
      <w:r/>
    </w:p>
    <w:p>
      <w:pPr>
        <w:pStyle w:val="990"/>
        <w:spacing w:before="0" w:after="0"/>
        <w:rPr>
          <w:rFonts w:hint="eastAsia" w:ascii="宋体" w:hAnsi="宋体" w:eastAsia="宋体" w:cs="宋体"/>
          <w:color w:val="auto"/>
        </w:rPr>
      </w:pPr>
      <w:r>
        <w:rPr>
          <w:rFonts w:hint="eastAsia" w:ascii="宋体" w:hAnsi="宋体" w:eastAsia="宋体" w:cs="宋体"/>
          <w:color w:val="auto"/>
        </w:rPr>
        <w:t xml:space="preserve">经磋商确定最终采购需求和确定提交最后报价的供应商后，由磋商小组采用综合评分法对提交最后报价的供应商的响应文件和最后报价进行综合评分。</w:t>
      </w:r>
      <w:r/>
    </w:p>
    <w:p>
      <w:pPr>
        <w:pStyle w:val="990"/>
        <w:ind w:firstLine="482"/>
        <w:spacing w:before="0" w:after="0"/>
        <w:rPr>
          <w:rFonts w:hint="eastAsia" w:ascii="宋体" w:hAnsi="宋体" w:eastAsia="宋体" w:cs="宋体"/>
          <w:bCs/>
          <w:color w:val="auto"/>
        </w:rPr>
      </w:pPr>
      <w:r>
        <w:rPr>
          <w:rFonts w:hint="eastAsia" w:ascii="宋体" w:hAnsi="宋体" w:eastAsia="宋体" w:cs="宋体"/>
          <w:color w:val="auto"/>
        </w:rPr>
        <w:t xml:space="preserve">综合评分法，是指响应文件满足磋商文件全部实质性要求且按评审因素的量化指标评审得分最高的供应商为成交候选供应商的评审方法。</w:t>
      </w:r>
      <w:r/>
    </w:p>
    <w:p>
      <w:pPr>
        <w:pStyle w:val="990"/>
        <w:ind w:firstLine="482"/>
        <w:spacing w:before="0" w:after="0"/>
        <w:rPr>
          <w:rFonts w:hint="eastAsia" w:ascii="宋体" w:hAnsi="宋体" w:eastAsia="宋体" w:cs="宋体"/>
          <w:b/>
          <w:color w:val="auto"/>
        </w:rPr>
        <w:outlineLvl w:val="1"/>
      </w:pPr>
      <w:r/>
      <w:bookmarkStart w:id="774" w:name="_Toc7676"/>
      <w:r/>
      <w:bookmarkStart w:id="775" w:name="_Toc29343"/>
      <w:r/>
      <w:bookmarkStart w:id="776" w:name="_Toc7675"/>
      <w:r>
        <w:rPr>
          <w:rFonts w:hint="eastAsia" w:ascii="宋体" w:hAnsi="宋体" w:cs="宋体"/>
          <w:b/>
          <w:color w:val="auto"/>
          <w:lang w:val="en-US" w:eastAsia="zh-CN"/>
        </w:rPr>
        <w:t xml:space="preserve">四</w:t>
      </w:r>
      <w:r>
        <w:rPr>
          <w:rFonts w:hint="eastAsia" w:ascii="宋体" w:hAnsi="宋体" w:eastAsia="宋体" w:cs="宋体"/>
          <w:b/>
          <w:color w:val="auto"/>
        </w:rPr>
        <w:t xml:space="preserve">、评审原则：</w:t>
      </w:r>
      <w:bookmarkEnd w:id="774"/>
      <w:r/>
      <w:bookmarkEnd w:id="775"/>
      <w:r/>
      <w:bookmarkEnd w:id="776"/>
      <w:r/>
      <w:r/>
    </w:p>
    <w:p>
      <w:pPr>
        <w:pStyle w:val="990"/>
        <w:ind w:firstLine="482"/>
        <w:spacing w:before="0" w:after="0"/>
        <w:rPr>
          <w:rFonts w:hint="eastAsia" w:ascii="宋体" w:hAnsi="宋体" w:eastAsia="宋体" w:cs="宋体"/>
          <w:color w:val="auto"/>
        </w:rPr>
      </w:pPr>
      <w:r>
        <w:rPr>
          <w:rFonts w:hint="eastAsia" w:ascii="宋体" w:hAnsi="宋体" w:eastAsia="宋体" w:cs="宋体"/>
          <w:color w:val="auto"/>
        </w:rPr>
        <w:t xml:space="preserve">磋商小组</w:t>
      </w:r>
      <w:r>
        <w:rPr>
          <w:rFonts w:hint="eastAsia" w:ascii="宋体" w:hAnsi="宋体" w:eastAsia="宋体" w:cs="宋体"/>
          <w:bCs/>
          <w:color w:val="auto"/>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rPr>
        <w:t xml:space="preserve">磋商小组</w:t>
      </w:r>
      <w:r>
        <w:rPr>
          <w:rFonts w:hint="eastAsia" w:ascii="宋体" w:hAnsi="宋体" w:eastAsia="宋体" w:cs="宋体"/>
          <w:bCs/>
          <w:color w:val="auto"/>
        </w:rPr>
        <w:t xml:space="preserve">及有关工作人员不得私下与供应商接触。</w:t>
      </w:r>
      <w:r/>
    </w:p>
    <w:p>
      <w:pPr>
        <w:pStyle w:val="990"/>
        <w:ind w:firstLine="482"/>
        <w:spacing w:before="0" w:after="0"/>
        <w:rPr>
          <w:rFonts w:hint="eastAsia" w:ascii="宋体" w:hAnsi="宋体" w:eastAsia="宋体" w:cs="宋体"/>
          <w:b/>
          <w:color w:val="auto"/>
        </w:rPr>
        <w:outlineLvl w:val="1"/>
      </w:pPr>
      <w:r/>
      <w:bookmarkStart w:id="777" w:name="_Toc17099"/>
      <w:r/>
      <w:bookmarkStart w:id="778" w:name="_Toc23596"/>
      <w:r/>
      <w:bookmarkStart w:id="779" w:name="_Toc444"/>
      <w:r>
        <w:rPr>
          <w:rFonts w:hint="eastAsia" w:ascii="宋体" w:hAnsi="宋体" w:cs="宋体"/>
          <w:b/>
          <w:color w:val="auto"/>
          <w:lang w:val="en-US" w:eastAsia="zh-CN"/>
        </w:rPr>
        <w:t xml:space="preserve">五</w:t>
      </w:r>
      <w:r>
        <w:rPr>
          <w:rFonts w:hint="eastAsia" w:ascii="宋体" w:hAnsi="宋体" w:eastAsia="宋体" w:cs="宋体"/>
          <w:b/>
          <w:color w:val="auto"/>
        </w:rPr>
        <w:t xml:space="preserve">、评审标准：</w:t>
      </w:r>
      <w:bookmarkEnd w:id="777"/>
      <w:r/>
      <w:bookmarkEnd w:id="778"/>
      <w:r/>
      <w:bookmarkEnd w:id="779"/>
      <w:r>
        <w:rPr>
          <w:rFonts w:hint="eastAsia" w:ascii="宋体" w:hAnsi="宋体" w:eastAsia="宋体" w:cs="宋体"/>
          <w:b/>
          <w:color w:val="auto"/>
        </w:rPr>
        <w:t xml:space="preserve"> </w:t>
      </w:r>
      <w:r/>
    </w:p>
    <w:p>
      <w:pPr>
        <w:pStyle w:val="990"/>
        <w:spacing w:before="0" w:after="0"/>
        <w:rPr>
          <w:rFonts w:hint="eastAsia" w:ascii="宋体" w:hAnsi="宋体" w:eastAsia="宋体" w:cs="宋体"/>
          <w:bCs/>
          <w:color w:val="auto"/>
        </w:rPr>
      </w:pPr>
      <w:r>
        <w:rPr>
          <w:rFonts w:hint="eastAsia" w:ascii="宋体" w:hAnsi="宋体" w:eastAsia="宋体" w:cs="宋体"/>
          <w:bCs/>
          <w:color w:val="auto"/>
        </w:rPr>
        <w:t xml:space="preserve">（一）评审时，磋商小组以磋商文件为评审依据，磋商小组各成员独立对每个有效响应的文件进行评价、打分，然后汇总每个供应商每项评审因素的得分。</w:t>
      </w:r>
      <w:r/>
    </w:p>
    <w:p>
      <w:pPr>
        <w:pStyle w:val="744"/>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（二）本项目评分总分为100分，按四舍五入取至小数点后两位。</w:t>
      </w:r>
      <w:r/>
    </w:p>
    <w:p>
      <w:pPr>
        <w:pStyle w:val="744"/>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44"/>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44"/>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90"/>
        <w:ind w:firstLine="643"/>
        <w:jc w:val="center"/>
        <w:spacing w:before="0" w:after="0"/>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综合评分法</w:t>
      </w:r>
      <w:r/>
    </w:p>
    <w:p>
      <w:pPr>
        <w:ind w:firstLine="482"/>
        <w:jc w:val="left"/>
        <w:spacing w:before="120" w:after="120" w:line="360" w:lineRule="auto"/>
        <w:widowControl w:val="off"/>
        <w:rPr>
          <w:rFonts w:ascii="Times New Roman" w:hAnsi="Times New Roman" w:eastAsia="宋体" w:cs="Times New Roman"/>
          <w:b/>
          <w:bCs/>
          <w:color w:val="auto"/>
          <w:sz w:val="24"/>
          <w:szCs w:val="24"/>
          <w:highlight w:val="none"/>
          <w:lang w:val="en-US" w:eastAsia="zh-CN" w:bidi="ar-SA"/>
        </w:rPr>
      </w:pPr>
      <w:r>
        <w:rPr>
          <w:rFonts w:ascii="Times New Roman" w:hAnsi="Times New Roman" w:eastAsia="宋体" w:cs="Times New Roman"/>
          <w:b/>
          <w:bCs/>
          <w:color w:val="auto"/>
          <w:sz w:val="24"/>
          <w:szCs w:val="24"/>
          <w:highlight w:val="none"/>
          <w:lang w:val="en-US" w:eastAsia="zh-CN" w:bidi="ar-SA"/>
        </w:rPr>
        <w:t xml:space="preserve">1、价格分：</w:t>
      </w:r>
      <w:r>
        <w:rPr>
          <w:rFonts w:hint="eastAsia" w:ascii="Times New Roman" w:hAnsi="Times New Roman" w:cs="Times New Roman"/>
          <w:b/>
          <w:bCs/>
          <w:color w:val="auto"/>
          <w:sz w:val="24"/>
          <w:szCs w:val="24"/>
          <w:highlight w:val="none"/>
          <w:lang w:val="en-US" w:eastAsia="zh-CN" w:bidi="ar-SA"/>
        </w:rPr>
        <w:t xml:space="preserve">2</w:t>
      </w:r>
      <w:r>
        <w:rPr>
          <w:rFonts w:hint="eastAsia" w:ascii="Times New Roman" w:hAnsi="Times New Roman" w:eastAsia="宋体" w:cs="Times New Roman"/>
          <w:b/>
          <w:bCs/>
          <w:color w:val="auto"/>
          <w:sz w:val="24"/>
          <w:szCs w:val="24"/>
          <w:highlight w:val="none"/>
          <w:lang w:val="en-US" w:eastAsia="zh-CN" w:bidi="ar-SA"/>
        </w:rPr>
        <w:t xml:space="preserve">0</w:t>
      </w:r>
      <w:r>
        <w:rPr>
          <w:rFonts w:ascii="Times New Roman" w:hAnsi="Times New Roman" w:eastAsia="宋体" w:cs="Times New Roman"/>
          <w:b/>
          <w:bCs/>
          <w:color w:val="auto"/>
          <w:sz w:val="24"/>
          <w:szCs w:val="24"/>
          <w:highlight w:val="none"/>
          <w:lang w:val="en-US" w:eastAsia="zh-CN" w:bidi="ar-SA"/>
        </w:rPr>
        <w:t xml:space="preserve">分</w:t>
      </w:r>
      <w:r/>
    </w:p>
    <w:p>
      <w:pPr>
        <w:ind w:firstLine="480"/>
        <w:jc w:val="left"/>
        <w:spacing w:before="120" w:after="120" w:line="360" w:lineRule="auto"/>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before="120" w:after="120" w:line="360" w:lineRule="auto"/>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磋商报价得分=(磋商基准价/最后磋商报价)×20分</w:t>
      </w:r>
      <w:r/>
    </w:p>
    <w:p>
      <w:pPr>
        <w:ind w:firstLine="480"/>
        <w:jc w:val="left"/>
        <w:spacing w:before="120" w:after="120" w:line="360" w:lineRule="auto"/>
        <w:widowControl w:val="off"/>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highlight w:val="none"/>
          <w:lang w:val="en-US" w:eastAsia="zh-CN" w:bidi="ar-SA"/>
        </w:rPr>
        <w:t xml:space="preserve">项目评审过程中，不得去掉最后报价中的最高报价和最低报价</w:t>
      </w:r>
      <w:r/>
    </w:p>
    <w:p>
      <w:pPr>
        <w:ind w:firstLine="472"/>
        <w:jc w:val="left"/>
        <w:spacing w:before="120" w:after="120" w:line="240" w:lineRule="auto"/>
        <w:widowControl w:val="off"/>
        <w:rPr>
          <w:rFonts w:ascii="Times New Roman" w:hAnsi="Times New Roman" w:eastAsia="宋体" w:cs="Times New Roman"/>
          <w:b/>
          <w:bCs/>
          <w:color w:val="auto"/>
          <w:sz w:val="24"/>
          <w:szCs w:val="24"/>
          <w:highlight w:val="none"/>
          <w:lang w:val="en-US" w:eastAsia="zh-CN" w:bidi="ar-SA"/>
        </w:rPr>
      </w:pPr>
      <w:r>
        <w:rPr>
          <w:rFonts w:ascii="Times New Roman" w:hAnsi="Times New Roman" w:eastAsia="宋体" w:cs="Times New Roman"/>
          <w:b/>
          <w:bCs/>
          <w:color w:val="auto"/>
          <w:sz w:val="24"/>
          <w:szCs w:val="24"/>
          <w:highlight w:val="none"/>
          <w:lang w:val="en-US" w:eastAsia="zh-CN" w:bidi="ar-SA"/>
        </w:rPr>
        <w:t xml:space="preserve">2、商务技术分：</w:t>
      </w:r>
      <w:r>
        <w:rPr>
          <w:rFonts w:hint="eastAsia" w:ascii="Times New Roman" w:hAnsi="Times New Roman" w:cs="Times New Roman"/>
          <w:b/>
          <w:bCs/>
          <w:color w:val="auto"/>
          <w:sz w:val="24"/>
          <w:szCs w:val="24"/>
          <w:highlight w:val="none"/>
          <w:lang w:val="en-US" w:eastAsia="zh-CN" w:bidi="ar-SA"/>
        </w:rPr>
        <w:t xml:space="preserve">8</w:t>
      </w:r>
      <w:r>
        <w:rPr>
          <w:rFonts w:hint="eastAsia" w:ascii="Times New Roman" w:hAnsi="Times New Roman" w:eastAsia="宋体" w:cs="Times New Roman"/>
          <w:b/>
          <w:bCs/>
          <w:color w:val="auto"/>
          <w:sz w:val="24"/>
          <w:szCs w:val="24"/>
          <w:highlight w:val="none"/>
          <w:lang w:val="en-US" w:eastAsia="zh-CN" w:bidi="ar-SA"/>
        </w:rPr>
        <w:t xml:space="preserve">0</w:t>
      </w:r>
      <w:r>
        <w:rPr>
          <w:rFonts w:ascii="Times New Roman" w:hAnsi="Times New Roman" w:eastAsia="宋体" w:cs="Times New Roman"/>
          <w:b/>
          <w:bCs/>
          <w:color w:val="auto"/>
          <w:sz w:val="24"/>
          <w:szCs w:val="24"/>
          <w:highlight w:val="none"/>
          <w:lang w:val="en-US" w:eastAsia="zh-CN" w:bidi="ar-SA"/>
        </w:rPr>
        <w:t xml:space="preserve">分</w:t>
      </w:r>
      <w:r/>
    </w:p>
    <w:tbl>
      <w:tblPr>
        <w:tblStyle w:val="711"/>
        <w:tblW w:w="95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08"/>
        <w:gridCol w:w="7346"/>
      </w:tblGrid>
      <w:tr>
        <w:trPr>
          <w:jc w:val="center"/>
          <w:trHeight w:val="621"/>
        </w:trPr>
        <w:tc>
          <w:tcPr>
            <w:tcW w:w="2208" w:type="dxa"/>
            <w:vAlign w:val="center"/>
            <w:textDirection w:val="lrTb"/>
            <w:noWrap w:val="false"/>
          </w:tcPr>
          <w:p>
            <w:pPr>
              <w:ind w:firstLine="0"/>
              <w:jc w:val="center"/>
              <w:spacing w:before="120" w:after="120" w:line="240" w:lineRule="auto"/>
              <w:widowControl w:val="off"/>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评审因素</w:t>
            </w:r>
            <w:r/>
          </w:p>
        </w:tc>
        <w:tc>
          <w:tcPr>
            <w:tcW w:w="7346" w:type="dxa"/>
            <w:vAlign w:val="center"/>
            <w:textDirection w:val="lrTb"/>
            <w:noWrap w:val="false"/>
          </w:tcPr>
          <w:p>
            <w:pPr>
              <w:ind w:firstLine="0"/>
              <w:jc w:val="center"/>
              <w:spacing w:before="120" w:after="120" w:line="240" w:lineRule="auto"/>
              <w:widowControl w:val="off"/>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评审标准</w:t>
            </w:r>
            <w:r/>
          </w:p>
        </w:tc>
      </w:tr>
      <w:tr>
        <w:trPr>
          <w:jc w:val="center"/>
          <w:trHeight w:val="90"/>
        </w:trPr>
        <w:tc>
          <w:tcPr>
            <w:shd w:val="clear" w:color="auto" w:fill="auto"/>
            <w:tcW w:w="2208" w:type="dxa"/>
            <w:vAlign w:val="center"/>
            <w:textDirection w:val="lrTb"/>
            <w:noWrap w:val="false"/>
          </w:tcPr>
          <w:p>
            <w:pPr>
              <w:ind w:firstLine="0"/>
              <w:jc w:val="center"/>
              <w:spacing w:before="120" w:after="120" w:line="24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业绩（15分）</w:t>
            </w:r>
            <w:r/>
          </w:p>
          <w:p>
            <w:pPr>
              <w:ind w:firstLine="0"/>
              <w:jc w:val="center"/>
              <w:spacing w:before="120" w:after="120" w:line="24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r>
            <w:r/>
          </w:p>
        </w:tc>
        <w:tc>
          <w:tcPr>
            <w:tcW w:w="7346" w:type="dxa"/>
            <w:vAlign w:val="top"/>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供应商自2022年1月以来(以合同签订时间为准)至今承担过类似消防改造工程业绩，有一个得5分，最高得15 分。</w:t>
            </w:r>
            <w:r/>
          </w:p>
          <w:p>
            <w:pPr>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注:供应商须将施工合同及竣工验收证明原件扫描上传于响应交件中，合同须体现甲乙双方单位名称及签订时间，否则不予认可。</w:t>
            </w:r>
            <w:r/>
          </w:p>
        </w:tc>
      </w:tr>
      <w:tr>
        <w:trPr>
          <w:jc w:val="center"/>
          <w:trHeight w:val="505"/>
        </w:trPr>
        <w:tc>
          <w:tcPr>
            <w:shd w:val="clear" w:color="auto" w:fill="auto"/>
            <w:tcW w:w="2208" w:type="dxa"/>
            <w:vAlign w:val="center"/>
            <w:textDirection w:val="lrTb"/>
            <w:noWrap w:val="false"/>
          </w:tcPr>
          <w:p>
            <w:pPr>
              <w:ind w:firstLine="0"/>
              <w:jc w:val="center"/>
              <w:spacing w:before="120" w:after="120" w:line="240" w:lineRule="auto"/>
              <w:widowControl w:val="off"/>
              <w:rPr>
                <w:rFonts w:hint="eastAsia" w:asciiTheme="minorEastAsia" w:hAnsiTheme="minorEastAsia" w:eastAsiaTheme="minorEastAsia" w:cstheme="minorEastAsia"/>
                <w:b w:val="0"/>
                <w:bCs w:val="0"/>
                <w:color w:val="auto"/>
                <w:sz w:val="21"/>
                <w:szCs w:val="21"/>
                <w:highlight w:val="none"/>
                <w:lang w:val="en-US" w:eastAsia="en-US" w:bidi="ar-SA"/>
              </w:rPr>
            </w:pPr>
            <w:r>
              <w:rPr>
                <w:rFonts w:hint="eastAsia" w:asciiTheme="minorEastAsia" w:hAnsiTheme="minorEastAsia" w:eastAsiaTheme="minorEastAsia" w:cstheme="minorEastAsia"/>
                <w:b w:val="0"/>
                <w:bCs w:val="0"/>
                <w:color w:val="auto"/>
                <w:sz w:val="21"/>
                <w:szCs w:val="21"/>
                <w:highlight w:val="none"/>
                <w:lang w:val="en-US" w:eastAsia="en-US" w:bidi="ar-SA"/>
              </w:rPr>
              <w:t xml:space="preserve">人员配置</w:t>
            </w:r>
            <w:r/>
          </w:p>
          <w:p>
            <w:pPr>
              <w:ind w:firstLine="0"/>
              <w:jc w:val="center"/>
              <w:spacing w:before="120" w:after="120" w:line="24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（18分）</w:t>
            </w:r>
            <w:r/>
          </w:p>
        </w:tc>
        <w:tc>
          <w:tcPr>
            <w:tcW w:w="7346" w:type="dxa"/>
            <w:vAlign w:val="top"/>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1、拟派项目负责人具备中级及以上职称的得2分；</w:t>
            </w:r>
            <w:r/>
          </w:p>
          <w:p>
            <w:pPr>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2、拟派技术负责人具有中级职称的得2分，具有高级及以上职称的得3分，此项最高得3分；</w:t>
            </w:r>
            <w:r/>
          </w:p>
          <w:p>
            <w:pPr>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3、拟投入项目组成员中（不含项目负责人及技术负责人）具有安全员、施工员、材料员、质量员、资料员证书的，每一个得2分，此项最高得10分，以上人员不得兼任；</w:t>
            </w:r>
            <w:r/>
          </w:p>
          <w:p>
            <w:pPr>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4、上述人员中具有注册消防工程师证书的，有一个得3分，此项最高得3分。</w:t>
            </w:r>
            <w:r/>
          </w:p>
          <w:p>
            <w:pPr>
              <w:keepLines w:val="0"/>
              <w:keepNext w:val="0"/>
              <w:pageBreakBefore w:val="0"/>
              <w:spacing w:line="36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Cs/>
                <w:color w:val="auto"/>
                <w:sz w:val="21"/>
                <w:szCs w:val="21"/>
                <w:highlight w:val="none"/>
                <w:lang w:val="en-US" w:eastAsia="zh-CN" w:bidi="ar-SA"/>
              </w:rPr>
              <w:t xml:space="preserve">注：以上人员除另行要求不可兼任以外，一人多证可以重复计分。供应商应提供有效的证书扫描件及近3个月任意一月由供应商为其缴纳的社保缴纳证明（由社保机构出具的社保缴纳证明（加盖社保中心章或社保中心参保缴费证明电子专用章）上传响应文件，以上材料未提供或提供不全的不得分。</w:t>
            </w:r>
            <w:r/>
          </w:p>
        </w:tc>
      </w:tr>
      <w:tr>
        <w:trPr>
          <w:jc w:val="center"/>
          <w:trHeight w:val="505"/>
        </w:trPr>
        <w:tc>
          <w:tcPr>
            <w:shd w:val="clear" w:color="auto" w:fill="auto"/>
            <w:tcW w:w="2208" w:type="dxa"/>
            <w:vAlign w:val="center"/>
            <w:textDirection w:val="lrTb"/>
            <w:noWrap w:val="false"/>
          </w:tcPr>
          <w:p>
            <w:pPr>
              <w:ind w:firstLine="0"/>
              <w:jc w:val="center"/>
              <w:spacing w:before="120" w:after="120" w:line="24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en-US" w:bidi="ar-SA"/>
              </w:rPr>
              <w:t xml:space="preserve">企业证书</w:t>
            </w:r>
            <w:r>
              <w:rPr>
                <w:rFonts w:hint="eastAsia" w:asciiTheme="minorEastAsia" w:hAnsiTheme="minorEastAsia" w:eastAsiaTheme="minorEastAsia" w:cstheme="minorEastAsia"/>
                <w:b w:val="0"/>
                <w:bCs w:val="0"/>
                <w:color w:val="auto"/>
                <w:sz w:val="21"/>
                <w:szCs w:val="21"/>
                <w:highlight w:val="none"/>
                <w:lang w:val="en-US" w:eastAsia="zh-CN" w:bidi="ar-SA"/>
              </w:rPr>
              <w:t xml:space="preserve">（3分）</w:t>
            </w:r>
            <w:r/>
          </w:p>
        </w:tc>
        <w:tc>
          <w:tcPr>
            <w:shd w:val="clear" w:color="auto" w:fill="auto"/>
            <w:tcW w:w="7346" w:type="dxa"/>
            <w:vAlign w:val="center"/>
            <w:textDirection w:val="lrTb"/>
            <w:noWrap w:val="false"/>
          </w:tcPr>
          <w:p>
            <w:pPr>
              <w:ind w:firstLine="0"/>
              <w:jc w:val="left"/>
              <w:spacing w:before="120" w:after="120" w:line="24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en-US" w:bidi="ar-SA"/>
              </w:rPr>
              <w:t xml:space="preserve">供应商具备有效期内且通过年检的质量管理认证体系认证证书，环境管理体系认证证书，职业健康安全管理体系认证证书，证书须可在国家认证认可监督管理委员会官网查询，提供网页版查询记录截图及证书复印件并加盖单位公章</w:t>
            </w:r>
            <w:r>
              <w:rPr>
                <w:rFonts w:hint="eastAsia" w:asciiTheme="minorEastAsia" w:hAnsiTheme="minorEastAsia" w:eastAsiaTheme="minorEastAsia" w:cstheme="minorEastAsia"/>
                <w:b w:val="0"/>
                <w:bCs w:val="0"/>
                <w:color w:val="auto"/>
                <w:sz w:val="21"/>
                <w:szCs w:val="21"/>
                <w:highlight w:val="none"/>
                <w:lang w:val="en-US" w:eastAsia="zh-CN" w:bidi="ar-SA"/>
              </w:rPr>
              <w:t xml:space="preserve">，</w:t>
            </w:r>
            <w:r>
              <w:rPr>
                <w:rFonts w:hint="eastAsia" w:asciiTheme="minorEastAsia" w:hAnsiTheme="minorEastAsia" w:eastAsiaTheme="minorEastAsia" w:cstheme="minorEastAsia"/>
                <w:b w:val="0"/>
                <w:bCs w:val="0"/>
                <w:color w:val="auto"/>
                <w:sz w:val="21"/>
                <w:szCs w:val="21"/>
                <w:highlight w:val="none"/>
                <w:lang w:val="en-US" w:eastAsia="en-US" w:bidi="ar-SA"/>
              </w:rPr>
              <w:t xml:space="preserve">每提供一项有效证书得</w:t>
            </w:r>
            <w:r>
              <w:rPr>
                <w:rFonts w:hint="eastAsia" w:asciiTheme="minorEastAsia" w:hAnsiTheme="minorEastAsia" w:eastAsiaTheme="minorEastAsia" w:cstheme="minorEastAsia"/>
                <w:b w:val="0"/>
                <w:bCs w:val="0"/>
                <w:color w:val="auto"/>
                <w:sz w:val="21"/>
                <w:szCs w:val="21"/>
                <w:highlight w:val="none"/>
                <w:lang w:val="en-US" w:eastAsia="zh-CN" w:bidi="ar-SA"/>
              </w:rPr>
              <w:t xml:space="preserve">1</w:t>
            </w:r>
            <w:r>
              <w:rPr>
                <w:rFonts w:hint="eastAsia" w:asciiTheme="minorEastAsia" w:hAnsiTheme="minorEastAsia" w:eastAsiaTheme="minorEastAsia" w:cstheme="minorEastAsia"/>
                <w:b w:val="0"/>
                <w:bCs w:val="0"/>
                <w:color w:val="auto"/>
                <w:sz w:val="21"/>
                <w:szCs w:val="21"/>
                <w:highlight w:val="none"/>
                <w:lang w:val="en-US" w:eastAsia="en-US" w:bidi="ar-SA"/>
              </w:rPr>
              <w:t xml:space="preserve">分，满分</w:t>
            </w:r>
            <w:r>
              <w:rPr>
                <w:rFonts w:hint="eastAsia" w:asciiTheme="minorEastAsia" w:hAnsiTheme="minorEastAsia" w:eastAsiaTheme="minorEastAsia" w:cstheme="minorEastAsia"/>
                <w:b w:val="0"/>
                <w:bCs w:val="0"/>
                <w:color w:val="auto"/>
                <w:sz w:val="21"/>
                <w:szCs w:val="21"/>
                <w:highlight w:val="none"/>
                <w:lang w:val="en-US" w:eastAsia="zh-CN" w:bidi="ar-SA"/>
              </w:rPr>
              <w:t xml:space="preserve">3</w:t>
            </w:r>
            <w:r>
              <w:rPr>
                <w:rFonts w:hint="eastAsia" w:asciiTheme="minorEastAsia" w:hAnsiTheme="minorEastAsia" w:eastAsiaTheme="minorEastAsia" w:cstheme="minorEastAsia"/>
                <w:b w:val="0"/>
                <w:bCs w:val="0"/>
                <w:color w:val="auto"/>
                <w:sz w:val="21"/>
                <w:szCs w:val="21"/>
                <w:highlight w:val="none"/>
                <w:lang w:val="en-US" w:eastAsia="en-US" w:bidi="ar-SA"/>
              </w:rPr>
              <w:t xml:space="preserve">分。</w:t>
            </w:r>
            <w:r/>
          </w:p>
        </w:tc>
      </w:tr>
      <w:tr>
        <w:trPr>
          <w:jc w:val="center"/>
          <w:trHeight w:val="621"/>
        </w:trPr>
        <w:tc>
          <w:tcPr>
            <w:shd w:val="clear" w:color="auto" w:fill="auto"/>
            <w:tcW w:w="2208" w:type="dxa"/>
            <w:vAlign w:val="center"/>
            <w:textDirection w:val="lrTb"/>
            <w:noWrap w:val="false"/>
          </w:tcPr>
          <w:p>
            <w:pPr>
              <w:ind w:firstLine="0"/>
              <w:jc w:val="center"/>
              <w:spacing w:before="120" w:after="120" w:line="24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施工组织总体设想（7分）</w:t>
            </w:r>
            <w:r/>
          </w:p>
          <w:p>
            <w:pPr>
              <w:ind w:firstLine="0"/>
              <w:jc w:val="center"/>
              <w:spacing w:before="120" w:after="120" w:line="24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r>
            <w:r/>
          </w:p>
        </w:tc>
        <w:tc>
          <w:tcPr>
            <w:tcW w:w="7346" w:type="dxa"/>
            <w:vAlign w:val="top"/>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供应商提供项目实施总体方案表述的清晰性、全面性、前瞻性、合理性、科学性、可行性及针对性等。</w:t>
            </w:r>
            <w:r/>
          </w:p>
          <w:p>
            <w:pPr>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总体方案表述的清晰、全面、前瞻、合理、科学、可行及针对性强：</w:t>
            </w:r>
            <w:r>
              <w:rPr>
                <w:rFonts w:hint="eastAsia" w:asciiTheme="minorEastAsia" w:hAnsiTheme="minorEastAsia" w:eastAsiaTheme="minorEastAsia" w:cstheme="minorEastAsia"/>
                <w:bCs/>
                <w:color w:val="auto"/>
                <w:sz w:val="21"/>
                <w:szCs w:val="21"/>
                <w:highlight w:val="none"/>
                <w:lang w:val="en-US" w:eastAsia="zh-CN"/>
              </w:rPr>
              <w:t xml:space="preserve">7</w:t>
            </w:r>
            <w:r>
              <w:rPr>
                <w:rFonts w:hint="eastAsia" w:asciiTheme="minorEastAsia" w:hAnsiTheme="minorEastAsia" w:eastAsiaTheme="minorEastAsia" w:cstheme="minorEastAsia"/>
                <w:bCs/>
                <w:color w:val="auto"/>
                <w:sz w:val="21"/>
                <w:szCs w:val="21"/>
                <w:highlight w:val="none"/>
              </w:rPr>
              <w:t xml:space="preserve">分；</w:t>
            </w:r>
            <w:r/>
          </w:p>
          <w:p>
            <w:pPr>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总体方案表述的清晰、全面、前瞻、合理、科学、可行及针对性</w:t>
            </w:r>
            <w:r>
              <w:rPr>
                <w:rFonts w:hint="eastAsia" w:asciiTheme="minorEastAsia" w:hAnsiTheme="minorEastAsia" w:eastAsiaTheme="minorEastAsia" w:cstheme="minorEastAsia"/>
                <w:bCs/>
                <w:color w:val="auto"/>
                <w:sz w:val="21"/>
                <w:szCs w:val="21"/>
                <w:highlight w:val="none"/>
                <w:lang w:val="en-US" w:eastAsia="zh-CN"/>
              </w:rPr>
              <w:t xml:space="preserve">较强</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分；</w:t>
            </w:r>
            <w:r/>
          </w:p>
          <w:p>
            <w:pPr>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总体方案表述的清晰、全面、前瞻、合理、科学、可行及针对性</w:t>
            </w:r>
            <w:r>
              <w:rPr>
                <w:rFonts w:hint="eastAsia" w:asciiTheme="minorEastAsia" w:hAnsiTheme="minorEastAsia" w:eastAsiaTheme="minorEastAsia" w:cstheme="minorEastAsia"/>
                <w:bCs/>
                <w:color w:val="auto"/>
                <w:sz w:val="21"/>
                <w:szCs w:val="21"/>
                <w:highlight w:val="none"/>
                <w:lang w:val="en-US" w:eastAsia="zh-CN"/>
              </w:rPr>
              <w:t xml:space="preserve">一般</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分；</w:t>
            </w:r>
            <w:r/>
          </w:p>
          <w:p>
            <w:pPr>
              <w:ind w:firstLine="0"/>
              <w:jc w:val="left"/>
              <w:spacing w:before="120" w:after="120" w:line="24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
                <w:color w:val="auto"/>
                <w:sz w:val="21"/>
                <w:szCs w:val="21"/>
                <w:highlight w:val="none"/>
                <w:lang w:val="en-US" w:eastAsia="zh-CN" w:bidi="ar-SA"/>
              </w:rPr>
              <w:t xml:space="preserve">未见阐述不得分。</w:t>
            </w:r>
            <w:r/>
          </w:p>
        </w:tc>
      </w:tr>
      <w:tr>
        <w:trPr>
          <w:jc w:val="center"/>
          <w:trHeight w:val="621"/>
        </w:trPr>
        <w:tc>
          <w:tcPr>
            <w:shd w:val="clear" w:color="auto" w:fill="auto"/>
            <w:tcW w:w="2208" w:type="dxa"/>
            <w:vAlign w:val="center"/>
            <w:textDirection w:val="lrTb"/>
            <w:noWrap w:val="false"/>
          </w:tcPr>
          <w:p>
            <w:pPr>
              <w:ind w:firstLine="0"/>
              <w:jc w:val="center"/>
              <w:spacing w:before="120" w:after="120" w:line="240"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施工总体实施方案（7分）</w:t>
            </w:r>
            <w:r/>
          </w:p>
        </w:tc>
        <w:tc>
          <w:tcPr>
            <w:tcW w:w="7346" w:type="dxa"/>
            <w:vAlign w:val="top"/>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rPr>
            </w:pPr>
            <w:r/>
            <w:bookmarkStart w:id="855" w:name="_GoBack"/>
            <w:r>
              <w:rPr>
                <w:rFonts w:hint="eastAsia" w:asciiTheme="minorEastAsia" w:hAnsiTheme="minorEastAsia" w:eastAsiaTheme="minorEastAsia" w:cstheme="minorEastAsia"/>
                <w:color w:val="auto"/>
                <w:sz w:val="21"/>
                <w:szCs w:val="21"/>
                <w:highlight w:val="none"/>
              </w:rPr>
              <w:t xml:space="preserve">针对本项目提供工程施工方案、关键施工技术、具体施工技术措施科学、合理、操作性强、规范、高效等。</w:t>
            </w:r>
            <w:r/>
          </w:p>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总体方案详细，施工安排合理，方案针对性合理规范，操作性强：</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分；</w:t>
            </w:r>
            <w:r/>
          </w:p>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总体方案较强，施工安排相对合理，方案针对性、操作性较强：</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p>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总体方案简单，施工安排不合理，方案针对性一般，操作性一般：</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p>
          <w:p>
            <w:pPr>
              <w:ind w:firstLine="0"/>
              <w:jc w:val="left"/>
              <w:spacing w:before="120" w:after="120" w:line="24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
                <w:color w:val="auto"/>
                <w:sz w:val="21"/>
                <w:szCs w:val="21"/>
                <w:highlight w:val="none"/>
                <w:lang w:val="en-US" w:eastAsia="zh-CN" w:bidi="ar-SA"/>
              </w:rPr>
              <w:t xml:space="preserve">未见阐述不得分。</w:t>
            </w:r>
            <w:bookmarkEnd w:id="855"/>
            <w:r/>
            <w:r/>
          </w:p>
        </w:tc>
      </w:tr>
      <w:tr>
        <w:trPr>
          <w:jc w:val="center"/>
          <w:trHeight w:val="621"/>
        </w:trPr>
        <w:tc>
          <w:tcPr>
            <w:shd w:val="clear" w:color="auto" w:fill="auto"/>
            <w:tcW w:w="2208" w:type="dxa"/>
            <w:vAlign w:val="center"/>
            <w:textDirection w:val="lrTb"/>
            <w:noWrap w:val="false"/>
          </w:tcPr>
          <w:p>
            <w:pPr>
              <w:ind w:firstLine="0"/>
              <w:jc w:val="center"/>
              <w:spacing w:before="120" w:after="120" w:line="240" w:lineRule="auto"/>
              <w:widowControl w:val="off"/>
              <w:rPr>
                <w:rFonts w:hint="eastAsia" w:asciiTheme="minorEastAsia" w:hAnsiTheme="minorEastAsia" w:eastAsiaTheme="minorEastAsia" w:cstheme="minorEastAsia"/>
                <w:b w:val="0"/>
                <w:bCs/>
                <w:color w:val="auto"/>
                <w:sz w:val="21"/>
                <w:szCs w:val="21"/>
                <w:highlight w:val="none"/>
                <w:lang w:val="en-US" w:eastAsia="zh-CN" w:bidi="ar-SA"/>
              </w:rPr>
            </w:pPr>
            <w:r>
              <w:rPr>
                <w:rFonts w:hint="eastAsia" w:asciiTheme="minorEastAsia" w:hAnsiTheme="minorEastAsia" w:eastAsiaTheme="minorEastAsia" w:cstheme="minorEastAsia"/>
                <w:b w:val="0"/>
                <w:bCs/>
                <w:color w:val="auto"/>
                <w:sz w:val="21"/>
                <w:szCs w:val="21"/>
                <w:highlight w:val="none"/>
              </w:rPr>
              <w:t xml:space="preserve">施工进度计划和各阶段进度的保证措施</w:t>
            </w:r>
            <w:r>
              <w:rPr>
                <w:rFonts w:hint="eastAsia" w:asciiTheme="minorEastAsia" w:hAnsiTheme="minorEastAsia" w:eastAsiaTheme="minorEastAsia" w:cstheme="minorEastAsia"/>
                <w:b w:val="0"/>
                <w:bCs w:val="0"/>
                <w:color w:val="auto"/>
                <w:sz w:val="21"/>
                <w:szCs w:val="21"/>
                <w:highlight w:val="none"/>
                <w:lang w:val="en-US" w:eastAsia="zh-CN" w:bidi="ar-SA"/>
              </w:rPr>
              <w:t xml:space="preserve">（6分）</w:t>
            </w:r>
            <w:r/>
          </w:p>
        </w:tc>
        <w:tc>
          <w:tcPr>
            <w:tcW w:w="7346" w:type="dxa"/>
            <w:vAlign w:val="top"/>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供应商针对本项目实施</w:t>
            </w:r>
            <w:r>
              <w:rPr>
                <w:rFonts w:hint="eastAsia" w:asciiTheme="minorEastAsia" w:hAnsiTheme="minorEastAsia" w:eastAsiaTheme="minorEastAsia" w:cstheme="minorEastAsia"/>
                <w:color w:val="auto"/>
                <w:sz w:val="21"/>
                <w:szCs w:val="21"/>
                <w:highlight w:val="none"/>
              </w:rPr>
              <w:t xml:space="preserve">关键线路的清晰性、施工进度计划编制的完整性、合理性及可行等。</w:t>
            </w:r>
            <w:r/>
          </w:p>
          <w:p>
            <w:pPr>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总进度计划详尽，各阶段进度的保证措施清晰准确：</w:t>
            </w:r>
            <w:r>
              <w:rPr>
                <w:rFonts w:hint="eastAsia" w:asciiTheme="minorEastAsia" w:hAnsiTheme="minorEastAsia" w:eastAsiaTheme="minorEastAsia" w:cstheme="minorEastAsia"/>
                <w:bCs/>
                <w:color w:val="auto"/>
                <w:sz w:val="21"/>
                <w:szCs w:val="21"/>
                <w:highlight w:val="none"/>
                <w:lang w:val="en-US" w:eastAsia="zh-CN"/>
              </w:rPr>
              <w:t xml:space="preserve">6</w:t>
            </w:r>
            <w:r>
              <w:rPr>
                <w:rFonts w:hint="eastAsia" w:asciiTheme="minorEastAsia" w:hAnsiTheme="minorEastAsia" w:eastAsiaTheme="minorEastAsia" w:cstheme="minorEastAsia"/>
                <w:bCs/>
                <w:color w:val="auto"/>
                <w:sz w:val="21"/>
                <w:szCs w:val="21"/>
                <w:highlight w:val="none"/>
              </w:rPr>
              <w:t xml:space="preserve">分；</w:t>
            </w:r>
            <w:r/>
          </w:p>
          <w:p>
            <w:pPr>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总进度计划较为详尽，各阶段进度的保证措施比较清晰准确：</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分；</w:t>
            </w:r>
            <w:r/>
          </w:p>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总进度计划不详尽，各阶段进度的保证措施</w:t>
            </w:r>
            <w:r>
              <w:rPr>
                <w:rFonts w:hint="eastAsia" w:asciiTheme="minorEastAsia" w:hAnsiTheme="minorEastAsia" w:eastAsiaTheme="minorEastAsia" w:cstheme="minorEastAsia"/>
                <w:bCs/>
                <w:color w:val="auto"/>
                <w:sz w:val="21"/>
                <w:szCs w:val="21"/>
                <w:highlight w:val="none"/>
                <w:lang w:val="en-US" w:eastAsia="zh-CN"/>
              </w:rPr>
              <w:t xml:space="preserve">比较</w:t>
            </w:r>
            <w:r>
              <w:rPr>
                <w:rFonts w:hint="eastAsia" w:asciiTheme="minorEastAsia" w:hAnsiTheme="minorEastAsia" w:eastAsiaTheme="minorEastAsia" w:cstheme="minorEastAsia"/>
                <w:bCs/>
                <w:color w:val="auto"/>
                <w:sz w:val="21"/>
                <w:szCs w:val="21"/>
                <w:highlight w:val="none"/>
              </w:rPr>
              <w:t xml:space="preserve">清晰准确：</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rPr>
              <w:t xml:space="preserve">；</w:t>
            </w:r>
            <w:r/>
          </w:p>
          <w:p>
            <w:pPr>
              <w:ind w:firstLine="0"/>
              <w:jc w:val="left"/>
              <w:spacing w:before="120" w:after="120" w:line="24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
                <w:color w:val="auto"/>
                <w:sz w:val="21"/>
                <w:szCs w:val="21"/>
                <w:highlight w:val="none"/>
                <w:lang w:val="en-US" w:eastAsia="zh-CN" w:bidi="ar-SA"/>
              </w:rPr>
              <w:t xml:space="preserve">未见阐述不得分。</w:t>
            </w:r>
            <w:r/>
          </w:p>
        </w:tc>
      </w:tr>
      <w:tr>
        <w:trPr>
          <w:jc w:val="center"/>
          <w:trHeight w:val="621"/>
        </w:trPr>
        <w:tc>
          <w:tcPr>
            <w:shd w:val="clear" w:color="auto" w:fill="auto"/>
            <w:tcW w:w="2208" w:type="dxa"/>
            <w:vAlign w:val="center"/>
            <w:textDirection w:val="lrTb"/>
            <w:noWrap w:val="false"/>
          </w:tcPr>
          <w:p>
            <w:pPr>
              <w:ind w:firstLine="0"/>
              <w:jc w:val="center"/>
              <w:spacing w:before="120" w:after="120" w:line="240" w:lineRule="auto"/>
              <w:widowControl w:val="off"/>
              <w:rPr>
                <w:rFonts w:hint="eastAsia" w:asciiTheme="minorEastAsia" w:hAnsiTheme="minorEastAsia" w:eastAsiaTheme="minorEastAsia" w:cstheme="minorEastAsia"/>
                <w:b w:val="0"/>
                <w:bCs/>
                <w:color w:val="auto"/>
                <w:sz w:val="21"/>
                <w:szCs w:val="21"/>
                <w:highlight w:val="none"/>
                <w:lang w:val="en-US" w:eastAsia="zh-CN" w:bidi="ar-SA"/>
              </w:rPr>
            </w:pPr>
            <w:r>
              <w:rPr>
                <w:rFonts w:hint="eastAsia" w:asciiTheme="minorEastAsia" w:hAnsiTheme="minorEastAsia" w:eastAsiaTheme="minorEastAsia" w:cstheme="minorEastAsia"/>
                <w:b w:val="0"/>
                <w:bCs/>
                <w:color w:val="auto"/>
                <w:sz w:val="21"/>
                <w:szCs w:val="21"/>
                <w:highlight w:val="none"/>
              </w:rPr>
              <w:t xml:space="preserve">施工质量保证措施</w:t>
            </w:r>
            <w:r>
              <w:rPr>
                <w:rFonts w:hint="eastAsia" w:asciiTheme="minorEastAsia" w:hAnsiTheme="minorEastAsia" w:eastAsiaTheme="minorEastAsia" w:cstheme="minorEastAsia"/>
                <w:b w:val="0"/>
                <w:bCs w:val="0"/>
                <w:color w:val="auto"/>
                <w:sz w:val="21"/>
                <w:szCs w:val="21"/>
                <w:highlight w:val="none"/>
                <w:lang w:val="en-US" w:eastAsia="zh-CN" w:bidi="ar-SA"/>
              </w:rPr>
              <w:t xml:space="preserve">（6分）</w:t>
            </w:r>
            <w:r/>
          </w:p>
        </w:tc>
        <w:tc>
          <w:tcPr>
            <w:tcW w:w="7346" w:type="dxa"/>
            <w:vAlign w:val="top"/>
            <w:textDirection w:val="lrTb"/>
            <w:noWrap w:val="false"/>
          </w:tcPr>
          <w:p>
            <w:pPr>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供应商提供</w:t>
            </w:r>
            <w:r>
              <w:rPr>
                <w:rFonts w:hint="eastAsia" w:asciiTheme="minorEastAsia" w:hAnsiTheme="minorEastAsia" w:eastAsiaTheme="minorEastAsia" w:cstheme="minorEastAsia"/>
                <w:bCs/>
                <w:color w:val="auto"/>
                <w:sz w:val="21"/>
                <w:szCs w:val="21"/>
                <w:highlight w:val="none"/>
              </w:rPr>
              <w:t xml:space="preserve">施工质量保证措施，内容包括但不限于施工质量控制措施、工程施工过程质量控制等。</w:t>
            </w:r>
            <w:r/>
          </w:p>
          <w:p>
            <w:pPr>
              <w:pStyle w:val="718"/>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施工质量控制措施清晰合理，质量控制具体办法详尽、可行的：</w:t>
            </w:r>
            <w:r>
              <w:rPr>
                <w:rFonts w:hint="eastAsia" w:asciiTheme="minorEastAsia" w:hAnsiTheme="minorEastAsia" w:eastAsiaTheme="minorEastAsia" w:cstheme="minorEastAsia"/>
                <w:bCs/>
                <w:color w:val="auto"/>
                <w:sz w:val="21"/>
                <w:szCs w:val="21"/>
                <w:highlight w:val="none"/>
                <w:lang w:val="en-US" w:eastAsia="zh-CN"/>
              </w:rPr>
              <w:t xml:space="preserve">6</w:t>
            </w:r>
            <w:r>
              <w:rPr>
                <w:rFonts w:hint="eastAsia" w:asciiTheme="minorEastAsia" w:hAnsiTheme="minorEastAsia" w:eastAsiaTheme="minorEastAsia" w:cstheme="minorEastAsia"/>
                <w:bCs/>
                <w:color w:val="auto"/>
                <w:sz w:val="21"/>
                <w:szCs w:val="21"/>
                <w:highlight w:val="none"/>
              </w:rPr>
              <w:t xml:space="preserve">分；</w:t>
            </w:r>
            <w:r/>
          </w:p>
          <w:p>
            <w:pPr>
              <w:pStyle w:val="718"/>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施工质量控制措施比较清晰合理，质量控制具体办法比较详尽、可行：</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分；</w:t>
            </w:r>
            <w:r/>
          </w:p>
          <w:p>
            <w:pPr>
              <w:pStyle w:val="718"/>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施工质量控制措施模糊不合理，质量控制具体办法模糊不可行：</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分；</w:t>
            </w:r>
            <w:r/>
          </w:p>
          <w:p>
            <w:pPr>
              <w:ind w:firstLine="0"/>
              <w:jc w:val="left"/>
              <w:spacing w:before="120" w:after="120" w:line="240" w:lineRule="auto"/>
              <w:widowControl w:val="off"/>
              <w:rPr>
                <w:rFonts w:hint="eastAsia" w:asciiTheme="minorEastAsia" w:hAnsiTheme="minorEastAsia" w:eastAsiaTheme="minorEastAsia" w:cstheme="minorEastAsia"/>
                <w:bCs/>
                <w:color w:val="auto"/>
                <w:sz w:val="21"/>
                <w:szCs w:val="21"/>
                <w:highlight w:val="none"/>
                <w:lang w:val="en-US" w:eastAsia="zh-CN" w:bidi="ar-SA"/>
              </w:rPr>
            </w:pPr>
            <w:r>
              <w:rPr>
                <w:rFonts w:hint="eastAsia" w:asciiTheme="minorEastAsia" w:hAnsiTheme="minorEastAsia" w:eastAsiaTheme="minorEastAsia" w:cstheme="minorEastAsia"/>
                <w:b/>
                <w:color w:val="auto"/>
                <w:sz w:val="21"/>
                <w:szCs w:val="21"/>
                <w:highlight w:val="none"/>
                <w:lang w:val="en-US" w:eastAsia="zh-CN" w:bidi="ar-SA"/>
              </w:rPr>
              <w:t xml:space="preserve">未见阐述不得分。</w:t>
            </w:r>
            <w:r/>
          </w:p>
        </w:tc>
      </w:tr>
      <w:tr>
        <w:trPr>
          <w:jc w:val="center"/>
          <w:trHeight w:val="621"/>
        </w:trPr>
        <w:tc>
          <w:tcPr>
            <w:shd w:val="clear" w:color="auto" w:fill="auto"/>
            <w:tcW w:w="2208" w:type="dxa"/>
            <w:vAlign w:val="center"/>
            <w:textDirection w:val="lrTb"/>
            <w:noWrap w:val="false"/>
          </w:tcPr>
          <w:p>
            <w:pPr>
              <w:ind w:firstLine="0"/>
              <w:jc w:val="center"/>
              <w:spacing w:before="120" w:after="120" w:line="24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施工机具设备及劳动力配置方案</w:t>
            </w:r>
            <w:r/>
          </w:p>
          <w:p>
            <w:pPr>
              <w:ind w:firstLine="0"/>
              <w:jc w:val="center"/>
              <w:spacing w:before="120" w:after="120" w:line="240" w:lineRule="auto"/>
              <w:widowControl w:val="off"/>
              <w:rPr>
                <w:rFonts w:hint="eastAsia" w:asciiTheme="minorEastAsia" w:hAnsiTheme="minorEastAsia" w:eastAsiaTheme="minorEastAsia" w:cstheme="minorEastAsia"/>
                <w:b w:val="0"/>
                <w:bCs/>
                <w:color w:val="auto"/>
                <w:sz w:val="21"/>
                <w:szCs w:val="21"/>
                <w:highlight w:val="none"/>
                <w:lang w:val="en-US" w:eastAsia="zh-CN" w:bidi="ar-SA"/>
              </w:rPr>
            </w:pPr>
            <w:r>
              <w:rPr>
                <w:rFonts w:hint="eastAsia" w:asciiTheme="minorEastAsia" w:hAnsiTheme="minorEastAsia" w:eastAsiaTheme="minorEastAsia" w:cstheme="minorEastAsia"/>
                <w:b w:val="0"/>
                <w:bCs/>
                <w:color w:val="auto"/>
                <w:sz w:val="21"/>
                <w:szCs w:val="21"/>
                <w:highlight w:val="none"/>
                <w:lang w:val="en-US" w:eastAsia="zh-CN" w:bidi="ar-SA"/>
              </w:rPr>
              <w:t xml:space="preserve">（6分）</w:t>
            </w:r>
            <w:r/>
          </w:p>
        </w:tc>
        <w:tc>
          <w:tcPr>
            <w:tcW w:w="7346" w:type="dxa"/>
            <w:vAlign w:val="top"/>
            <w:textDirection w:val="lrTb"/>
            <w:noWrap w:val="false"/>
          </w:tcPr>
          <w:p>
            <w:pPr>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施工机具配置、劳动力配置合理，方案及措施切实可行：</w:t>
            </w:r>
            <w:r>
              <w:rPr>
                <w:rFonts w:hint="eastAsia" w:asciiTheme="minorEastAsia" w:hAnsiTheme="minorEastAsia" w:eastAsiaTheme="minorEastAsia" w:cstheme="minorEastAsia"/>
                <w:bCs/>
                <w:color w:val="auto"/>
                <w:sz w:val="21"/>
                <w:szCs w:val="21"/>
                <w:highlight w:val="none"/>
                <w:lang w:val="en-US" w:eastAsia="zh-CN"/>
              </w:rPr>
              <w:t xml:space="preserve">6</w:t>
            </w:r>
            <w:r>
              <w:rPr>
                <w:rFonts w:hint="eastAsia" w:asciiTheme="minorEastAsia" w:hAnsiTheme="minorEastAsia" w:eastAsiaTheme="minorEastAsia" w:cstheme="minorEastAsia"/>
                <w:bCs/>
                <w:color w:val="auto"/>
                <w:sz w:val="21"/>
                <w:szCs w:val="21"/>
                <w:highlight w:val="none"/>
              </w:rPr>
              <w:t xml:space="preserve">分；</w:t>
            </w:r>
            <w:r/>
          </w:p>
          <w:p>
            <w:pPr>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施工机具配置、劳动力配置较为合理，方案及措施可行性较强：</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分；</w:t>
            </w:r>
            <w:r/>
          </w:p>
          <w:p>
            <w:pPr>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施工机具配置、劳动力配置不合理，方案及措施实施性差：1分；</w:t>
            </w:r>
            <w:r/>
          </w:p>
          <w:p>
            <w:pPr>
              <w:ind w:firstLine="0"/>
              <w:jc w:val="left"/>
              <w:spacing w:before="120" w:after="120" w:line="240" w:lineRule="auto"/>
              <w:widowControl w:val="off"/>
              <w:rPr>
                <w:rFonts w:hint="eastAsia" w:asciiTheme="minorEastAsia" w:hAnsiTheme="minorEastAsia" w:eastAsiaTheme="minorEastAsia" w:cstheme="minorEastAsia"/>
                <w:b/>
                <w:color w:val="auto"/>
                <w:sz w:val="21"/>
                <w:szCs w:val="21"/>
                <w:highlight w:val="none"/>
                <w:lang w:val="en-US" w:eastAsia="zh-CN" w:bidi="ar-SA"/>
              </w:rPr>
            </w:pPr>
            <w:r>
              <w:rPr>
                <w:rFonts w:hint="eastAsia" w:asciiTheme="minorEastAsia" w:hAnsiTheme="minorEastAsia" w:eastAsiaTheme="minorEastAsia" w:cstheme="minorEastAsia"/>
                <w:b/>
                <w:color w:val="auto"/>
                <w:sz w:val="21"/>
                <w:szCs w:val="21"/>
                <w:highlight w:val="none"/>
                <w:lang w:val="en-US" w:eastAsia="zh-CN" w:bidi="ar-SA"/>
              </w:rPr>
              <w:t xml:space="preserve">未见阐述不得分</w:t>
            </w:r>
            <w:r>
              <w:rPr>
                <w:rFonts w:hint="eastAsia" w:asciiTheme="minorEastAsia" w:hAnsiTheme="minorEastAsia" w:eastAsiaTheme="minorEastAsia" w:cstheme="minorEastAsia"/>
                <w:color w:val="auto"/>
                <w:sz w:val="21"/>
                <w:szCs w:val="21"/>
                <w:highlight w:val="none"/>
              </w:rPr>
              <w:t xml:space="preserve">。</w:t>
            </w:r>
            <w:r/>
          </w:p>
        </w:tc>
      </w:tr>
      <w:tr>
        <w:trPr>
          <w:jc w:val="center"/>
          <w:trHeight w:val="621"/>
        </w:trPr>
        <w:tc>
          <w:tcPr>
            <w:shd w:val="clear" w:color="auto" w:fill="auto"/>
            <w:tcW w:w="2208" w:type="dxa"/>
            <w:vAlign w:val="center"/>
            <w:textDirection w:val="lrTb"/>
            <w:noWrap w:val="false"/>
          </w:tcPr>
          <w:p>
            <w:pPr>
              <w:ind w:firstLine="0"/>
              <w:jc w:val="center"/>
              <w:spacing w:before="120" w:after="120" w:line="240" w:lineRule="auto"/>
              <w:widowControl w:val="off"/>
              <w:rPr>
                <w:rFonts w:hint="eastAsia" w:asciiTheme="minorEastAsia" w:hAnsiTheme="minorEastAsia" w:eastAsiaTheme="minorEastAsia" w:cstheme="minorEastAsia"/>
                <w:b w:val="0"/>
                <w:bCs/>
                <w:color w:val="auto"/>
                <w:sz w:val="21"/>
                <w:szCs w:val="21"/>
                <w:highlight w:val="none"/>
                <w:lang w:val="en-US" w:eastAsia="zh-CN" w:bidi="ar-SA"/>
              </w:rPr>
            </w:pPr>
            <w:r>
              <w:rPr>
                <w:rFonts w:hint="eastAsia" w:asciiTheme="minorEastAsia" w:hAnsiTheme="minorEastAsia" w:eastAsiaTheme="minorEastAsia" w:cstheme="minorEastAsia"/>
                <w:b w:val="0"/>
                <w:bCs/>
                <w:color w:val="auto"/>
                <w:sz w:val="21"/>
                <w:szCs w:val="21"/>
                <w:highlight w:val="none"/>
              </w:rPr>
              <w:t xml:space="preserve">安全文明施工及环境保护措施（</w:t>
            </w:r>
            <w:r>
              <w:rPr>
                <w:rFonts w:hint="eastAsia" w:asciiTheme="minorEastAsia" w:hAnsiTheme="minorEastAsia" w:eastAsiaTheme="minorEastAsia" w:cstheme="minorEastAsia"/>
                <w:b w:val="0"/>
                <w:bCs/>
                <w:color w:val="auto"/>
                <w:sz w:val="21"/>
                <w:szCs w:val="21"/>
                <w:highlight w:val="none"/>
                <w:lang w:val="en-US" w:eastAsia="zh-CN"/>
              </w:rPr>
              <w:t xml:space="preserve">6</w:t>
            </w:r>
            <w:r>
              <w:rPr>
                <w:rFonts w:hint="eastAsia" w:asciiTheme="minorEastAsia" w:hAnsiTheme="minorEastAsia" w:eastAsiaTheme="minorEastAsia" w:cstheme="minorEastAsia"/>
                <w:b w:val="0"/>
                <w:bCs/>
                <w:color w:val="auto"/>
                <w:sz w:val="21"/>
                <w:szCs w:val="21"/>
                <w:highlight w:val="none"/>
              </w:rPr>
              <w:t xml:space="preserve">分）</w:t>
            </w:r>
            <w:r/>
          </w:p>
        </w:tc>
        <w:tc>
          <w:tcPr>
            <w:tcW w:w="7346" w:type="dxa"/>
            <w:vAlign w:val="top"/>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供应商提供针对本项目安全文明施工及环境保护采取措施。</w:t>
            </w:r>
            <w:r/>
          </w:p>
          <w:p>
            <w:pPr>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安全文明施工、环境保护具体措施合理，有针对性：</w:t>
            </w:r>
            <w:r>
              <w:rPr>
                <w:rFonts w:hint="eastAsia" w:asciiTheme="minorEastAsia" w:hAnsiTheme="minorEastAsia" w:eastAsiaTheme="minorEastAsia" w:cstheme="minorEastAsia"/>
                <w:bCs/>
                <w:color w:val="auto"/>
                <w:sz w:val="21"/>
                <w:szCs w:val="21"/>
                <w:highlight w:val="none"/>
                <w:lang w:val="en-US" w:eastAsia="zh-CN"/>
              </w:rPr>
              <w:t xml:space="preserve">6</w:t>
            </w:r>
            <w:r>
              <w:rPr>
                <w:rFonts w:hint="eastAsia" w:asciiTheme="minorEastAsia" w:hAnsiTheme="minorEastAsia" w:eastAsiaTheme="minorEastAsia" w:cstheme="minorEastAsia"/>
                <w:bCs/>
                <w:color w:val="auto"/>
                <w:sz w:val="21"/>
                <w:szCs w:val="21"/>
                <w:highlight w:val="none"/>
              </w:rPr>
              <w:t xml:space="preserve">分；</w:t>
            </w:r>
            <w:r/>
          </w:p>
          <w:p>
            <w:pPr>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安全文明施工、环境保护具体措施较为合理：</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分；</w:t>
            </w:r>
            <w:r/>
          </w:p>
          <w:p>
            <w:pPr>
              <w:jc w:val="left"/>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安全文明施工、环境保护具体措施不合理：1分；</w:t>
            </w:r>
            <w:r/>
          </w:p>
          <w:p>
            <w:pPr>
              <w:ind w:firstLine="0"/>
              <w:jc w:val="left"/>
              <w:spacing w:before="120" w:after="12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bidi="ar-SA"/>
              </w:rPr>
              <w:t xml:space="preserve">未见阐述不得分</w:t>
            </w:r>
            <w:r>
              <w:rPr>
                <w:rFonts w:hint="eastAsia" w:asciiTheme="minorEastAsia" w:hAnsiTheme="minorEastAsia" w:eastAsiaTheme="minorEastAsia" w:cstheme="minorEastAsia"/>
                <w:color w:val="auto"/>
                <w:sz w:val="21"/>
                <w:szCs w:val="21"/>
                <w:highlight w:val="none"/>
              </w:rPr>
              <w:t xml:space="preserve">。</w:t>
            </w:r>
            <w:r/>
          </w:p>
        </w:tc>
      </w:tr>
      <w:tr>
        <w:trPr>
          <w:jc w:val="center"/>
          <w:trHeight w:val="621"/>
        </w:trPr>
        <w:tc>
          <w:tcPr>
            <w:shd w:val="clear" w:color="auto" w:fill="auto"/>
            <w:tcW w:w="2208" w:type="dxa"/>
            <w:vAlign w:val="center"/>
            <w:textDirection w:val="lrTb"/>
            <w:noWrap w:val="false"/>
          </w:tcPr>
          <w:p>
            <w:pPr>
              <w:ind w:firstLine="0"/>
              <w:jc w:val="center"/>
              <w:spacing w:before="120" w:after="120" w:line="24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难点、重点及合理化建议（</w:t>
            </w:r>
            <w:r>
              <w:rPr>
                <w:rFonts w:hint="eastAsia" w:asciiTheme="minorEastAsia" w:hAnsiTheme="minorEastAsia" w:eastAsiaTheme="minorEastAsia" w:cstheme="minorEastAsia"/>
                <w:b w:val="0"/>
                <w:bCs/>
                <w:color w:val="auto"/>
                <w:sz w:val="21"/>
                <w:szCs w:val="21"/>
                <w:highlight w:val="none"/>
                <w:lang w:val="en-US" w:eastAsia="zh-CN"/>
              </w:rPr>
              <w:t xml:space="preserve">6</w:t>
            </w:r>
            <w:r>
              <w:rPr>
                <w:rFonts w:hint="eastAsia" w:asciiTheme="minorEastAsia" w:hAnsiTheme="minorEastAsia" w:eastAsiaTheme="minorEastAsia" w:cstheme="minorEastAsia"/>
                <w:b w:val="0"/>
                <w:bCs/>
                <w:color w:val="auto"/>
                <w:sz w:val="21"/>
                <w:szCs w:val="21"/>
                <w:highlight w:val="none"/>
              </w:rPr>
              <w:t xml:space="preserve">分）</w:t>
            </w:r>
            <w:r/>
          </w:p>
        </w:tc>
        <w:tc>
          <w:tcPr>
            <w:tcW w:w="7346" w:type="dxa"/>
            <w:vAlign w:val="top"/>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供应商针对本项目关键施工技术的难点、重点的分析及针对性合理化建议（措施）的科学性、可行性、全面性、针对性及有效性等。</w:t>
            </w:r>
            <w:r/>
          </w:p>
          <w:p>
            <w:pPr>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对关键施工技术、工艺及工程项目实施的重点、难点分析准确，解决方案切实可行，针对性及有效性强：6分；</w:t>
            </w:r>
            <w:r/>
          </w:p>
          <w:p>
            <w:pPr>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对关键施工技术、工艺及工程项目实施的重点、难点分析准确，解决方案较为可行，针对性及有效性较强：3分；</w:t>
            </w:r>
            <w:r/>
          </w:p>
          <w:p>
            <w:pPr>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对关键施工技术、工艺及工程项目实施的重点、难点分析一般，解决方案一般，针对性及有效性一般：1分；</w:t>
            </w:r>
            <w:r/>
          </w:p>
          <w:p>
            <w:pPr>
              <w:ind w:firstLine="0"/>
              <w:jc w:val="left"/>
              <w:spacing w:before="120" w:after="120" w:line="240" w:lineRule="auto"/>
              <w:widowControl w:val="off"/>
              <w:rPr>
                <w:rFonts w:hint="eastAsia" w:asciiTheme="minorEastAsia" w:hAnsiTheme="minorEastAsia" w:eastAsiaTheme="minorEastAsia" w:cstheme="minorEastAsia"/>
                <w:b/>
                <w:color w:val="auto"/>
                <w:sz w:val="21"/>
                <w:szCs w:val="21"/>
                <w:highlight w:val="none"/>
                <w:lang w:val="en-US" w:eastAsia="zh-CN" w:bidi="ar-SA"/>
              </w:rPr>
            </w:pPr>
            <w:r>
              <w:rPr>
                <w:rFonts w:hint="eastAsia" w:asciiTheme="minorEastAsia" w:hAnsiTheme="minorEastAsia" w:eastAsiaTheme="minorEastAsia" w:cstheme="minorEastAsia"/>
                <w:b/>
                <w:color w:val="auto"/>
                <w:sz w:val="21"/>
                <w:szCs w:val="21"/>
                <w:highlight w:val="none"/>
                <w:lang w:val="en-US" w:eastAsia="zh-CN" w:bidi="ar-SA"/>
              </w:rPr>
              <w:t xml:space="preserve">未见阐述不得分</w:t>
            </w:r>
            <w:r>
              <w:rPr>
                <w:rFonts w:hint="eastAsia" w:asciiTheme="minorEastAsia" w:hAnsiTheme="minorEastAsia" w:eastAsiaTheme="minorEastAsia" w:cstheme="minorEastAsia"/>
                <w:color w:val="auto"/>
                <w:sz w:val="21"/>
                <w:szCs w:val="21"/>
                <w:highlight w:val="none"/>
              </w:rPr>
              <w:t xml:space="preserve">。</w:t>
            </w:r>
            <w:r/>
          </w:p>
        </w:tc>
      </w:tr>
    </w:tbl>
    <w:p>
      <w:pPr>
        <w:spacing w:line="360" w:lineRule="auto"/>
        <w:rPr>
          <w:rFonts w:ascii="宋体" w:hAnsi="宋体" w:cs="宋体"/>
          <w:color w:val="auto"/>
          <w:szCs w:val="21"/>
        </w:rPr>
      </w:pPr>
      <w:r>
        <w:rPr>
          <w:rFonts w:ascii="宋体" w:hAnsi="宋体" w:cs="宋体"/>
          <w:color w:val="auto"/>
          <w:szCs w:val="21"/>
        </w:rPr>
      </w:r>
      <w:r/>
    </w:p>
    <w:p>
      <w:pPr>
        <w:keepLines w:val="0"/>
        <w:keepNext w:val="0"/>
        <w:pageBreakBefore w:val="0"/>
        <w:spacing w:line="360" w:lineRule="auto"/>
        <w:widowControl w:val="off"/>
        <w:rPr>
          <w:rFonts w:hint="eastAsia" w:ascii="宋体" w:hAnsi="宋体" w:eastAsia="宋体" w:cs="宋体"/>
          <w:b/>
          <w:bCs/>
          <w:color w:val="auto"/>
          <w:sz w:val="24"/>
          <w:szCs w:val="24"/>
        </w:rPr>
      </w:pPr>
      <w:r/>
      <w:bookmarkStart w:id="780" w:name="_Toc13800"/>
      <w:r/>
      <w:bookmarkStart w:id="781" w:name="_Toc25400"/>
      <w:r/>
      <w:bookmarkStart w:id="782" w:name="_Toc21177"/>
      <w:r>
        <w:rPr>
          <w:rFonts w:hint="eastAsia" w:ascii="宋体" w:hAnsi="宋体" w:eastAsia="宋体" w:cs="宋体"/>
          <w:b/>
          <w:bCs/>
          <w:color w:val="auto"/>
          <w:sz w:val="24"/>
          <w:szCs w:val="24"/>
        </w:rPr>
        <w:t xml:space="preserve">六、成交标准：</w:t>
      </w:r>
      <w:bookmarkEnd w:id="780"/>
      <w:r/>
      <w:bookmarkEnd w:id="781"/>
      <w:r/>
      <w:bookmarkEnd w:id="782"/>
      <w:r/>
      <w:r/>
    </w:p>
    <w:p>
      <w:pPr>
        <w:ind w:firstLine="480"/>
        <w:keepLines w:val="0"/>
        <w:keepNext w:val="0"/>
        <w:pageBreakBefore w:val="0"/>
        <w:spacing w:line="360" w:lineRule="auto"/>
        <w:widowControl w:val="off"/>
        <w:rPr>
          <w:color w:val="auto"/>
        </w:rPr>
      </w:pPr>
      <w:r>
        <w:rPr>
          <w:rFonts w:hint="eastAsia" w:ascii="宋体" w:hAnsi="宋体" w:eastAsia="宋体" w:cs="宋体"/>
          <w:color w:val="auto"/>
          <w:sz w:val="24"/>
          <w:szCs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auto"/>
          <w:szCs w:val="24"/>
        </w:rPr>
        <w:br w:type="page" w:clear="all"/>
      </w:r>
      <w:bookmarkStart w:id="783" w:name="_Toc20637"/>
      <w:r/>
      <w:bookmarkEnd w:id="783"/>
      <w:r/>
      <w:bookmarkStart w:id="784" w:name="_Toc29778"/>
      <w:r/>
      <w:bookmarkEnd w:id="784"/>
      <w:r/>
      <w:bookmarkStart w:id="785" w:name="_Toc15247"/>
      <w:r/>
      <w:bookmarkEnd w:id="785"/>
      <w:r/>
      <w:r/>
    </w:p>
    <w:p>
      <w:pPr>
        <w:pStyle w:val="701"/>
        <w:numPr>
          <w:ilvl w:val="0"/>
          <w:numId w:val="8"/>
        </w:numPr>
        <w:jc w:val="center"/>
        <w:rPr>
          <w:rFonts w:hint="eastAsia" w:ascii="宋体" w:hAnsi="宋体" w:eastAsia="宋体" w:cs="宋体"/>
          <w:b/>
          <w:bCs/>
          <w:color w:val="auto"/>
          <w:sz w:val="40"/>
          <w:szCs w:val="40"/>
          <w:lang w:val="en-US" w:eastAsia="zh-CN"/>
        </w:rPr>
      </w:pPr>
      <w:r/>
      <w:bookmarkStart w:id="786" w:name="_Toc2728"/>
      <w:r/>
      <w:bookmarkStart w:id="787" w:name="_Toc465856616"/>
      <w:r/>
      <w:bookmarkStart w:id="788" w:name="_Toc1731"/>
      <w:r/>
      <w:bookmarkStart w:id="789" w:name="_Toc3613"/>
      <w:r/>
      <w:bookmarkStart w:id="790" w:name="_Toc27402"/>
      <w:r>
        <w:rPr>
          <w:rFonts w:hint="eastAsia" w:ascii="宋体" w:hAnsi="宋体" w:eastAsia="宋体" w:cs="宋体"/>
          <w:b/>
          <w:bCs/>
          <w:color w:val="auto"/>
          <w:sz w:val="40"/>
          <w:szCs w:val="40"/>
          <w:lang w:val="en-US" w:eastAsia="zh-CN"/>
        </w:rPr>
        <w:t xml:space="preserve">竞争性磋商响应文件格式</w:t>
      </w:r>
      <w:bookmarkEnd w:id="786"/>
      <w:r/>
      <w:bookmarkEnd w:id="787"/>
      <w:r/>
      <w:bookmarkEnd w:id="788"/>
      <w:r/>
      <w:bookmarkEnd w:id="789"/>
      <w:r/>
      <w:bookmarkEnd w:id="790"/>
      <w:r/>
      <w:r/>
    </w:p>
    <w:p>
      <w:pPr>
        <w:numPr>
          <w:ilvl w:val="0"/>
          <w:numId w:val="0"/>
        </w:numPr>
        <w:rPr>
          <w:rFonts w:hint="eastAsia"/>
          <w:color w:val="auto"/>
        </w:rPr>
      </w:pPr>
      <w:r>
        <w:rPr>
          <w:rFonts w:hint="eastAsia"/>
          <w:color w:val="auto"/>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ascii="宋体" w:hAnsi="宋体" w:cs="宋体"/>
          <w:b/>
          <w:color w:val="auto"/>
          <w:sz w:val="56"/>
          <w:szCs w:val="48"/>
          <w:highlight w:val="none"/>
        </w:rPr>
      </w:pPr>
      <w:r>
        <w:rPr>
          <w:rFonts w:hint="eastAsia" w:ascii="宋体" w:hAnsi="宋体" w:cs="宋体"/>
          <w:b/>
          <w:color w:val="auto"/>
          <w:sz w:val="56"/>
          <w:szCs w:val="48"/>
          <w:highlight w:val="none"/>
        </w:rPr>
        <w:t xml:space="preserve">连 云 港 市 政 府 采 购</w:t>
      </w: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p>
    <w:p>
      <w:pPr>
        <w:jc w:val="center"/>
        <w:rPr>
          <w:rFonts w:ascii="宋体" w:hAnsi="宋体" w:cs="宋体"/>
          <w:b/>
          <w:color w:val="auto"/>
          <w:sz w:val="72"/>
          <w:szCs w:val="21"/>
          <w:highlight w:val="none"/>
        </w:rPr>
      </w:pPr>
      <w:r>
        <w:rPr>
          <w:rFonts w:hint="eastAsia" w:ascii="宋体" w:hAnsi="宋体" w:cs="宋体"/>
          <w:b/>
          <w:color w:val="auto"/>
          <w:sz w:val="72"/>
          <w:szCs w:val="21"/>
          <w:highlight w:val="none"/>
        </w:rPr>
        <w:t xml:space="preserve">响应文件</w:t>
      </w:r>
      <w:r/>
    </w:p>
    <w:p>
      <w:pPr>
        <w:ind w:firstLine="643"/>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996"/>
        <w:ind w:firstLine="1749"/>
        <w:jc w:val="both"/>
        <w:spacing w:line="480" w:lineRule="atLeast"/>
        <w:rPr>
          <w:b/>
          <w:color w:val="auto"/>
          <w:sz w:val="32"/>
          <w:szCs w:val="32"/>
          <w:highlight w:val="none"/>
          <w:u w:val="single"/>
        </w:rPr>
      </w:pPr>
      <w:r>
        <w:rPr>
          <w:rFonts w:hint="eastAsia"/>
          <w:b/>
          <w:color w:val="auto"/>
          <w:sz w:val="32"/>
          <w:szCs w:val="32"/>
          <w:highlight w:val="none"/>
        </w:rPr>
        <w:t xml:space="preserve">项目名称：</w:t>
      </w:r>
      <w:r>
        <w:rPr>
          <w:rFonts w:hint="eastAsia"/>
          <w:b/>
          <w:color w:val="auto"/>
          <w:sz w:val="32"/>
          <w:szCs w:val="32"/>
          <w:highlight w:val="none"/>
          <w:u w:val="single"/>
        </w:rPr>
        <w:t xml:space="preserve">                    </w:t>
      </w:r>
      <w:r/>
    </w:p>
    <w:p>
      <w:pPr>
        <w:pStyle w:val="996"/>
        <w:ind w:firstLine="1749"/>
        <w:jc w:val="both"/>
        <w:spacing w:line="480" w:lineRule="atLeast"/>
        <w:rPr>
          <w:color w:val="auto"/>
          <w:highlight w:val="none"/>
        </w:rPr>
      </w:pPr>
      <w:r>
        <w:rPr>
          <w:rFonts w:hint="eastAsia"/>
          <w:b/>
          <w:color w:val="auto"/>
          <w:sz w:val="32"/>
          <w:szCs w:val="32"/>
          <w:highlight w:val="none"/>
        </w:rPr>
        <w:t xml:space="preserve">项目编号：</w:t>
      </w:r>
      <w:r>
        <w:rPr>
          <w:rFonts w:hint="eastAsia"/>
          <w:b/>
          <w:color w:val="auto"/>
          <w:sz w:val="32"/>
          <w:szCs w:val="32"/>
          <w:highlight w:val="none"/>
          <w:u w:val="single"/>
        </w:rPr>
        <w:t xml:space="preserve">                    </w:t>
      </w:r>
      <w:r/>
    </w:p>
    <w:p>
      <w:pPr>
        <w:pStyle w:val="996"/>
        <w:jc w:val="both"/>
        <w:spacing w:line="360" w:lineRule="atLeast"/>
        <w:rPr>
          <w:color w:val="auto"/>
          <w:highlight w:val="none"/>
        </w:rPr>
      </w:pPr>
      <w:r>
        <w:rPr>
          <w:rFonts w:hint="eastAsia"/>
          <w:color w:val="auto"/>
          <w:highlight w:val="none"/>
        </w:rPr>
        <w:t xml:space="preserve">  </w:t>
      </w:r>
      <w:r/>
    </w:p>
    <w:p>
      <w:pPr>
        <w:pStyle w:val="996"/>
        <w:ind w:firstLine="1749"/>
        <w:jc w:val="both"/>
        <w:spacing w:line="480" w:lineRule="atLeast"/>
        <w:rPr>
          <w:b/>
          <w:color w:val="auto"/>
          <w:sz w:val="32"/>
          <w:szCs w:val="32"/>
          <w:highlight w:val="none"/>
        </w:rPr>
      </w:pPr>
      <w:r>
        <w:rPr>
          <w:rFonts w:hint="eastAsia"/>
          <w:b/>
          <w:color w:val="auto"/>
          <w:sz w:val="32"/>
          <w:szCs w:val="32"/>
          <w:highlight w:val="none"/>
        </w:rPr>
        <w:t xml:space="preserve">供应商名称：</w:t>
      </w:r>
      <w:r>
        <w:rPr>
          <w:rFonts w:hint="eastAsia"/>
          <w:b/>
          <w:bCs/>
          <w:color w:val="auto"/>
          <w:sz w:val="36"/>
          <w:szCs w:val="36"/>
          <w:highlight w:val="none"/>
          <w:u w:val="single"/>
        </w:rPr>
        <w:t xml:space="preserve">（加盖CA电子公章）</w:t>
      </w:r>
      <w:r>
        <w:rPr>
          <w:rFonts w:hint="eastAsia"/>
          <w:b/>
          <w:color w:val="auto"/>
          <w:sz w:val="32"/>
          <w:szCs w:val="32"/>
          <w:highlight w:val="none"/>
        </w:rPr>
        <w:t xml:space="preserve"> </w:t>
      </w:r>
      <w:r/>
    </w:p>
    <w:p>
      <w:pPr>
        <w:pStyle w:val="996"/>
        <w:ind w:firstLine="1749"/>
        <w:jc w:val="both"/>
        <w:spacing w:line="480" w:lineRule="atLeast"/>
        <w:rPr>
          <w:color w:val="auto"/>
          <w:sz w:val="36"/>
          <w:highlight w:val="none"/>
        </w:rPr>
      </w:pPr>
      <w:r>
        <w:rPr>
          <w:rFonts w:hint="eastAsia"/>
          <w:b/>
          <w:color w:val="auto"/>
          <w:sz w:val="32"/>
          <w:szCs w:val="32"/>
          <w:highlight w:val="none"/>
        </w:rPr>
        <w:t xml:space="preserve">日 期 ：</w:t>
      </w:r>
      <w:r>
        <w:rPr>
          <w:rFonts w:hint="eastAsia"/>
          <w:b/>
          <w:color w:val="auto"/>
          <w:sz w:val="32"/>
          <w:szCs w:val="32"/>
          <w:highlight w:val="none"/>
          <w:u w:val="single"/>
        </w:rPr>
        <w:t xml:space="preserve">      </w:t>
      </w:r>
      <w:r>
        <w:rPr>
          <w:rFonts w:hint="eastAsia"/>
          <w:b/>
          <w:color w:val="auto"/>
          <w:sz w:val="32"/>
          <w:szCs w:val="32"/>
          <w:highlight w:val="none"/>
          <w:u w:val="single"/>
          <w:lang w:val="en-US" w:eastAsia="zh-CN"/>
        </w:rPr>
        <w:t xml:space="preserve">    </w:t>
      </w:r>
      <w:r>
        <w:rPr>
          <w:rFonts w:hint="eastAsia"/>
          <w:b/>
          <w:color w:val="auto"/>
          <w:sz w:val="32"/>
          <w:szCs w:val="32"/>
          <w:highlight w:val="none"/>
          <w:u w:val="single"/>
        </w:rPr>
        <w:t xml:space="preserve">              </w:t>
      </w:r>
      <w:r/>
    </w:p>
    <w:p>
      <w:pPr>
        <w:pStyle w:val="745"/>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45"/>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45"/>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numPr>
          <w:ilvl w:val="0"/>
          <w:numId w:val="0"/>
        </w:numPr>
        <w:spacing w:line="360" w:lineRule="auto"/>
        <w:rPr>
          <w:rFonts w:hint="eastAsia" w:ascii="宋体" w:hAnsi="宋体" w:eastAsia="宋体" w:cs="宋体"/>
          <w:b/>
          <w:color w:val="auto"/>
          <w:sz w:val="32"/>
          <w:szCs w:val="32"/>
        </w:rPr>
        <w:outlineLvl w:val="9"/>
      </w:pPr>
      <w:r>
        <w:rPr>
          <w:rFonts w:hint="eastAsia" w:ascii="宋体" w:hAnsi="宋体" w:eastAsia="宋体" w:cs="宋体"/>
          <w:b/>
          <w:color w:val="auto"/>
          <w:sz w:val="32"/>
          <w:szCs w:val="32"/>
        </w:rPr>
      </w:r>
      <w:r/>
    </w:p>
    <w:p>
      <w:pPr>
        <w:pStyle w:val="704"/>
        <w:jc w:val="center"/>
        <w:spacing w:before="0" w:after="0" w:line="360" w:lineRule="auto"/>
        <w:rPr>
          <w:rFonts w:hint="eastAsia" w:ascii="宋体" w:hAnsi="宋体" w:eastAsia="宋体" w:cs="宋体"/>
          <w:color w:val="auto"/>
        </w:rPr>
        <w:outlineLvl w:val="1"/>
      </w:pPr>
      <w:r/>
      <w:bookmarkStart w:id="791" w:name="_Toc23461"/>
      <w:r/>
      <w:bookmarkStart w:id="792" w:name="_Toc12298"/>
      <w:r/>
      <w:bookmarkStart w:id="793" w:name="_Toc19733"/>
      <w:r>
        <w:rPr>
          <w:rFonts w:hint="eastAsia" w:ascii="宋体" w:hAnsi="宋体" w:eastAsia="宋体" w:cs="宋体"/>
          <w:color w:val="auto"/>
          <w:sz w:val="32"/>
          <w:szCs w:val="32"/>
          <w:lang w:val="en-US" w:eastAsia="zh-CN"/>
        </w:rPr>
        <w:t xml:space="preserve">一、</w:t>
      </w:r>
      <w:r>
        <w:rPr>
          <w:rFonts w:hint="eastAsia" w:ascii="宋体" w:hAnsi="宋体" w:eastAsia="宋体" w:cs="宋体"/>
          <w:color w:val="auto"/>
          <w:sz w:val="32"/>
          <w:szCs w:val="32"/>
        </w:rPr>
        <w:t xml:space="preserve">磋商响应函</w:t>
      </w:r>
      <w:bookmarkEnd w:id="791"/>
      <w:r/>
      <w:bookmarkEnd w:id="792"/>
      <w:r/>
      <w:bookmarkEnd w:id="793"/>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采购人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(一)根据已收到的采购编号为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的总价，按磋商文件的要求承包本次采购范围内的全部工程，并承担相关的责任。</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(三)我单位保证在收到贵单位发出的书面开工令后立即开工，并在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天内竣工。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(四)我单位保证本工程质量达到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(五)我单位保证在成交后派出项目负责人</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 xml:space="preserve">同志(身份证号：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)全面负责本工程的施工。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(六)贵单位所发出的磋商文件、成交通知书和本响应文件将构成约束我们双方的合同。</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磋商供应商：(签章)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单位地址：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邮政编码：</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法定代表人或委托代理人(签字或盖章)：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传真：</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开户银行名称：</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开户行地址：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45"/>
        <w:ind w:firstLine="48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30"/>
          <w:szCs w:val="30"/>
          <w:u w:val="single"/>
        </w:rPr>
        <w:br w:type="page" w:clear="all"/>
      </w:r>
      <w:bookmarkStart w:id="794" w:name="_Toc2373"/>
      <w:r/>
      <w:bookmarkStart w:id="795" w:name="_Toc15988"/>
      <w:r/>
      <w:bookmarkStart w:id="796" w:name="_Toc13573"/>
      <w:r/>
      <w:bookmarkStart w:id="797" w:name="_Toc15192"/>
      <w:r/>
      <w:bookmarkStart w:id="798" w:name="_Toc17281"/>
      <w:r/>
      <w:bookmarkStart w:id="799" w:name="_Toc28392"/>
      <w:r/>
      <w:bookmarkStart w:id="800" w:name="_Toc8251"/>
      <w:r>
        <w:rPr>
          <w:rFonts w:hint="eastAsia" w:ascii="宋体" w:hAnsi="宋体" w:eastAsia="宋体" w:cs="宋体"/>
          <w:b/>
          <w:color w:val="auto"/>
          <w:sz w:val="28"/>
          <w:szCs w:val="28"/>
        </w:rPr>
        <w:t xml:space="preserve">二、磋商响应报价表</w:t>
      </w:r>
      <w:bookmarkEnd w:id="794"/>
      <w:r/>
      <w:bookmarkEnd w:id="795"/>
      <w:r/>
      <w:bookmarkEnd w:id="796"/>
      <w:r/>
      <w:bookmarkEnd w:id="797"/>
      <w:r/>
      <w:r/>
    </w:p>
    <w:tbl>
      <w:tblPr>
        <w:tblStyle w:val="711"/>
        <w:tblpPr w:horzAnchor="margin" w:tblpXSpec="left" w:vertAnchor="margin" w:tblpY="1425" w:leftFromText="180" w:topFromText="0" w:rightFromText="180" w:bottomFromText="0"/>
        <w:tblW w:w="91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trHeight w:val="1328"/>
        </w:trPr>
        <w:tc>
          <w:tcPr>
            <w:shd w:val="clear" w:color="auto" w:fill="auto"/>
            <w:tcW w:w="1543" w:type="dxa"/>
            <w:textDirection w:val="lrTb"/>
            <w:noWrap w:val="false"/>
          </w:tcPr>
          <w:p>
            <w:pPr>
              <w:jc w:val="center"/>
              <w:spacing w:before="74" w:line="229" w:lineRule="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r>
            <w:r/>
          </w:p>
          <w:p>
            <w:pPr>
              <w:jc w:val="center"/>
              <w:spacing w:before="74" w:line="229" w:lineRule="auto"/>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项</w:t>
            </w:r>
            <w:r>
              <w:rPr>
                <w:rFonts w:hint="eastAsia" w:ascii="宋体" w:hAnsi="宋体" w:eastAsia="宋体" w:cs="宋体"/>
                <w:color w:val="auto"/>
                <w:spacing w:val="13"/>
                <w:sz w:val="24"/>
                <w:szCs w:val="24"/>
              </w:rPr>
              <w:t xml:space="preserve">  目</w:t>
            </w:r>
            <w:r/>
          </w:p>
        </w:tc>
        <w:tc>
          <w:tcPr>
            <w:shd w:val="clear" w:color="auto" w:fill="auto"/>
            <w:tcW w:w="7600" w:type="dxa"/>
            <w:textDirection w:val="lrTb"/>
            <w:noWrap w:val="false"/>
          </w:tcPr>
          <w:p>
            <w:pPr>
              <w:spacing w:line="30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237"/>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6"/>
                <w:position w:val="12"/>
                <w:sz w:val="24"/>
                <w:szCs w:val="24"/>
              </w:rPr>
              <w:t xml:space="preserve">项</w:t>
            </w:r>
            <w:r>
              <w:rPr>
                <w:rFonts w:hint="eastAsia" w:ascii="宋体" w:hAnsi="宋体" w:eastAsia="宋体" w:cs="宋体"/>
                <w:color w:val="auto"/>
                <w:spacing w:val="5"/>
                <w:position w:val="12"/>
                <w:sz w:val="24"/>
                <w:szCs w:val="24"/>
              </w:rPr>
              <w:t xml:space="preserve">目名称：</w:t>
            </w:r>
            <w:r/>
          </w:p>
          <w:p>
            <w:pPr>
              <w:ind w:left="237"/>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w:t>
            </w:r>
            <w:r>
              <w:rPr>
                <w:rFonts w:hint="eastAsia" w:ascii="宋体" w:hAnsi="宋体" w:eastAsia="宋体" w:cs="宋体"/>
                <w:color w:val="auto"/>
                <w:spacing w:val="5"/>
                <w:sz w:val="24"/>
                <w:szCs w:val="24"/>
              </w:rPr>
              <w:t xml:space="preserve">目编号：</w:t>
            </w:r>
            <w:r/>
          </w:p>
        </w:tc>
      </w:tr>
      <w:tr>
        <w:trPr>
          <w:trHeight w:val="1977"/>
        </w:trPr>
        <w:tc>
          <w:tcPr>
            <w:shd w:val="clear" w:color="auto" w:fill="auto"/>
            <w:tcW w:w="1543" w:type="dxa"/>
            <w:textDirection w:val="lrTb"/>
            <w:noWrap w:val="false"/>
          </w:tcPr>
          <w:p>
            <w:pPr>
              <w:spacing w:line="311"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10"/>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1"/>
                <w:position w:val="12"/>
                <w:sz w:val="24"/>
                <w:szCs w:val="24"/>
              </w:rPr>
              <w:t xml:space="preserve">响应</w:t>
            </w:r>
            <w:r/>
          </w:p>
          <w:p>
            <w:pPr>
              <w:ind w:left="596"/>
              <w:spacing w:line="226"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报价</w:t>
            </w:r>
            <w:r/>
          </w:p>
        </w:tc>
        <w:tc>
          <w:tcPr>
            <w:shd w:val="clear" w:color="auto" w:fill="auto"/>
            <w:tcW w:w="7600" w:type="dxa"/>
            <w:textDirection w:val="lrTb"/>
            <w:noWrap w:val="false"/>
          </w:tcPr>
          <w:p>
            <w:pPr>
              <w:spacing w:line="395"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9"/>
                <w:position w:val="2"/>
                <w:sz w:val="24"/>
                <w:szCs w:val="24"/>
              </w:rPr>
              <w:t xml:space="preserve">人</w:t>
            </w:r>
            <w:r>
              <w:rPr>
                <w:rFonts w:hint="eastAsia" w:ascii="宋体" w:hAnsi="宋体" w:eastAsia="宋体" w:cs="宋体"/>
                <w:color w:val="auto"/>
                <w:spacing w:val="5"/>
                <w:position w:val="2"/>
                <w:sz w:val="24"/>
                <w:szCs w:val="24"/>
              </w:rPr>
              <w:t xml:space="preserve">民币(大写)：</w:t>
            </w:r>
            <w:r/>
          </w:p>
          <w:p>
            <w:pPr>
              <w:spacing w:line="28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4"/>
                <w:position w:val="3"/>
                <w:sz w:val="24"/>
                <w:szCs w:val="24"/>
              </w:rPr>
              <w:t xml:space="preserve">(</w:t>
            </w:r>
            <w:r>
              <w:rPr>
                <w:rFonts w:hint="eastAsia" w:ascii="宋体" w:hAnsi="宋体" w:eastAsia="宋体" w:cs="宋体"/>
                <w:color w:val="auto"/>
                <w:spacing w:val="3"/>
                <w:position w:val="3"/>
                <w:sz w:val="24"/>
                <w:szCs w:val="24"/>
              </w:rPr>
              <w:t xml:space="preserve">小写)：</w:t>
            </w:r>
            <w:r/>
          </w:p>
        </w:tc>
      </w:tr>
      <w:tr>
        <w:trPr>
          <w:trHeight w:val="1655"/>
        </w:trPr>
        <w:tc>
          <w:tcPr>
            <w:shd w:val="clear" w:color="auto" w:fill="auto"/>
            <w:tcW w:w="1543" w:type="dxa"/>
            <w:textDirection w:val="lrTb"/>
            <w:noWrap w:val="false"/>
          </w:tcPr>
          <w:p>
            <w:pPr>
              <w:spacing w:line="464"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599"/>
              <w:spacing w:before="74" w:line="401" w:lineRule="exact"/>
              <w:rPr>
                <w:rFonts w:hint="eastAsia" w:ascii="宋体" w:hAnsi="宋体" w:eastAsia="宋体" w:cs="宋体"/>
                <w:color w:val="auto"/>
                <w:sz w:val="24"/>
                <w:szCs w:val="24"/>
              </w:rPr>
            </w:pPr>
            <w:r>
              <w:rPr>
                <w:rFonts w:hint="eastAsia" w:ascii="宋体" w:hAnsi="宋体" w:eastAsia="宋体" w:cs="宋体"/>
                <w:color w:val="auto"/>
                <w:spacing w:val="4"/>
                <w:position w:val="12"/>
                <w:sz w:val="24"/>
                <w:szCs w:val="24"/>
              </w:rPr>
              <w:t xml:space="preserve">预计</w:t>
            </w:r>
            <w:r/>
          </w:p>
          <w:p>
            <w:pPr>
              <w:ind w:left="600"/>
              <w:spacing w:before="1" w:line="228"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工</w:t>
            </w:r>
            <w:r>
              <w:rPr>
                <w:rFonts w:hint="eastAsia" w:ascii="宋体" w:hAnsi="宋体" w:eastAsia="宋体" w:cs="宋体"/>
                <w:color w:val="auto"/>
                <w:spacing w:val="3"/>
                <w:sz w:val="24"/>
                <w:szCs w:val="24"/>
              </w:rPr>
              <w:t xml:space="preserve">期</w:t>
            </w:r>
            <w:r/>
          </w:p>
        </w:tc>
        <w:tc>
          <w:tcPr>
            <w:shd w:val="clear" w:color="auto" w:fill="auto"/>
            <w:tcW w:w="7600" w:type="dxa"/>
            <w:textDirection w:val="lrTb"/>
            <w:noWrap w:val="false"/>
          </w:tcPr>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2"/>
              <w:spacing w:before="75" w:line="22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天</w:t>
            </w:r>
            <w:r>
              <w:rPr>
                <w:rFonts w:hint="eastAsia" w:ascii="宋体" w:hAnsi="宋体" w:eastAsia="宋体" w:cs="宋体"/>
                <w:color w:val="auto"/>
                <w:sz w:val="24"/>
                <w:szCs w:val="24"/>
              </w:rPr>
              <w:t xml:space="preserve">内竣工</w:t>
            </w:r>
            <w:r/>
          </w:p>
        </w:tc>
      </w:tr>
      <w:tr>
        <w:trPr>
          <w:trHeight w:val="1659"/>
        </w:trPr>
        <w:tc>
          <w:tcPr>
            <w:gridSpan w:val="2"/>
            <w:shd w:val="clear" w:color="auto" w:fill="auto"/>
            <w:tcW w:w="9143" w:type="dxa"/>
            <w:textDirection w:val="lrTb"/>
            <w:noWrap w:val="false"/>
          </w:tcPr>
          <w:p>
            <w:pPr>
              <w:spacing w:line="467"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2"/>
              <w:spacing w:before="74" w:line="399" w:lineRule="exact"/>
              <w:rPr>
                <w:rFonts w:hint="eastAsia" w:ascii="宋体" w:hAnsi="宋体" w:eastAsia="宋体" w:cs="宋体"/>
                <w:color w:val="auto"/>
                <w:sz w:val="24"/>
                <w:szCs w:val="24"/>
              </w:rPr>
            </w:pPr>
            <w:r>
              <w:rPr>
                <w:rFonts w:hint="eastAsia" w:ascii="宋体" w:hAnsi="宋体" w:eastAsia="宋体" w:cs="宋体"/>
                <w:color w:val="auto"/>
                <w:spacing w:val="6"/>
                <w:position w:val="11"/>
                <w:sz w:val="24"/>
                <w:szCs w:val="24"/>
              </w:rPr>
              <w:t xml:space="preserve">质量标准</w:t>
            </w:r>
            <w:r>
              <w:rPr>
                <w:rFonts w:hint="eastAsia" w:ascii="宋体" w:hAnsi="宋体" w:eastAsia="宋体" w:cs="宋体"/>
                <w:color w:val="auto"/>
                <w:spacing w:val="5"/>
                <w:position w:val="11"/>
                <w:sz w:val="24"/>
                <w:szCs w:val="24"/>
              </w:rPr>
              <w:t xml:space="preserve">：</w:t>
            </w:r>
            <w:r/>
          </w:p>
          <w:p>
            <w:pPr>
              <w:ind w:firstLine="242"/>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项目负责人：</w:t>
            </w:r>
            <w:r/>
          </w:p>
        </w:tc>
      </w:tr>
    </w:tbl>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磋商单位盖章：                   法定代表人(授权代表)签名：</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b/>
          <w:bCs/>
          <w:color w:val="auto"/>
          <w:sz w:val="24"/>
        </w:rPr>
      </w:pPr>
      <w:r>
        <w:rPr>
          <w:rFonts w:hint="eastAsia" w:ascii="宋体" w:hAnsi="宋体" w:eastAsia="宋体" w:cs="宋体"/>
          <w:color w:val="auto"/>
          <w:sz w:val="24"/>
        </w:rPr>
        <w:t xml:space="preserve">注：①磋商报价应包括磋商文件所确定的采购范围的全部内容，但</w:t>
      </w:r>
      <w:r>
        <w:rPr>
          <w:rFonts w:hint="eastAsia" w:ascii="宋体" w:hAnsi="宋体" w:eastAsia="宋体" w:cs="宋体"/>
          <w:b/>
          <w:bCs/>
          <w:color w:val="auto"/>
          <w:sz w:val="24"/>
        </w:rPr>
        <w:t xml:space="preserve">该表报价非本次磋商的最后报价。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②此表格式不得自行改动。</w:t>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pStyle w:val="765"/>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1687"/>
        <w:jc w:val="both"/>
        <w:keepLines w:val="0"/>
        <w:keepNext w:val="0"/>
        <w:pageBreakBefore w:val="0"/>
        <w:spacing w:after="181" w:line="360" w:lineRule="auto"/>
        <w:widowControl w:val="off"/>
        <w:rPr>
          <w:rFonts w:hint="eastAsia" w:ascii="宋体" w:hAnsi="宋体" w:cs="宋体"/>
          <w:b/>
          <w:color w:val="auto"/>
          <w:sz w:val="28"/>
          <w:szCs w:val="28"/>
          <w:lang w:val="en-US" w:eastAsia="zh-CN"/>
        </w:rPr>
        <w:outlineLvl w:val="1"/>
      </w:pPr>
      <w:r/>
      <w:bookmarkStart w:id="801" w:name="_Toc23399"/>
      <w:r/>
      <w:bookmarkStart w:id="802" w:name="_Toc9495"/>
      <w:r/>
      <w:bookmarkStart w:id="803" w:name="_Toc22246"/>
      <w:r/>
      <w:bookmarkStart w:id="804" w:name="_Toc11332"/>
      <w:r/>
      <w:bookmarkStart w:id="805" w:name="_Toc9022"/>
      <w:r/>
      <w:bookmarkStart w:id="806" w:name="_Toc14569"/>
      <w:r/>
      <w:bookmarkStart w:id="807" w:name="_Toc6932"/>
      <w:r/>
      <w:bookmarkStart w:id="808" w:name="_Toc20909"/>
      <w:r>
        <w:rPr>
          <w:rFonts w:hint="eastAsia" w:ascii="宋体" w:hAnsi="宋体" w:cs="宋体"/>
          <w:b/>
          <w:color w:val="auto"/>
          <w:sz w:val="28"/>
          <w:szCs w:val="28"/>
          <w:lang w:val="en-US" w:eastAsia="zh-CN"/>
        </w:rPr>
        <w:t xml:space="preserve">三、中小企业声明函、残疾人福利性单位声明函</w:t>
      </w:r>
      <w:r/>
    </w:p>
    <w:p>
      <w:pPr>
        <w:jc w:val="both"/>
        <w:keepLines w:val="0"/>
        <w:keepNext w:val="0"/>
        <w:pageBreakBefore w:val="0"/>
        <w:spacing w:after="181" w:line="360" w:lineRule="auto"/>
        <w:widowControl w:val="off"/>
        <w:rPr>
          <w:rFonts w:hint="default" w:ascii="宋体" w:hAnsi="宋体" w:eastAsia="宋体" w:cs="宋体"/>
          <w:b/>
          <w:color w:val="auto"/>
          <w:sz w:val="28"/>
          <w:szCs w:val="28"/>
          <w:lang w:val="en-US" w:eastAsia="zh-CN"/>
        </w:rPr>
        <w:outlineLvl w:val="1"/>
      </w:pPr>
      <w:r>
        <w:rPr>
          <w:rFonts w:hint="default" w:ascii="宋体" w:hAnsi="宋体" w:eastAsia="宋体" w:cs="宋体"/>
          <w:b/>
          <w:color w:val="auto"/>
          <w:sz w:val="28"/>
          <w:szCs w:val="28"/>
          <w:lang w:val="en-US" w:eastAsia="zh-CN"/>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t xml:space="preserve">中小企业声明函</w:t>
      </w:r>
      <w:bookmarkEnd w:id="801"/>
      <w:r/>
      <w:bookmarkEnd w:id="802"/>
      <w:r/>
      <w:bookmarkEnd w:id="803"/>
      <w:r/>
      <w:bookmarkEnd w:id="804"/>
      <w:r/>
      <w:bookmarkEnd w:id="805"/>
      <w:r/>
      <w:bookmarkEnd w:id="806"/>
      <w:r/>
      <w:bookmarkEnd w:id="807"/>
      <w:r/>
      <w:bookmarkEnd w:id="80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本公司郑重声明，根据《政府采购促进中小企业发展管理办法》（财库﹝2020﹞46号）的规定，本公司参加</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采购活动，工程的施工单位全部为符合政策要求的中小企业。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 xml:space="preserve">行业；承建企业为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bCs/>
          <w:color w:val="auto"/>
          <w:sz w:val="24"/>
        </w:rPr>
        <w:t xml:space="preserve">企业名称（盖章）</w:t>
      </w:r>
      <w:r>
        <w:rPr>
          <w:rFonts w:hint="eastAsia" w:ascii="宋体" w:hAnsi="宋体" w:eastAsia="宋体" w:cs="宋体"/>
          <w:color w:val="auto"/>
          <w:sz w:val="24"/>
          <w:szCs w:val="21"/>
        </w:rPr>
        <w:t xml:space="preserve">：</w:t>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719"/>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pStyle w:val="719"/>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u w:val="single"/>
        </w:rPr>
      </w:pPr>
      <w:r>
        <w:rPr>
          <w:rFonts w:hint="eastAsia" w:ascii="宋体" w:hAnsi="宋体" w:eastAsia="宋体" w:cs="宋体"/>
          <w:b/>
          <w:color w:val="auto"/>
          <w:sz w:val="30"/>
          <w:szCs w:val="30"/>
          <w:u w:val="single"/>
        </w:rPr>
      </w:r>
      <w:r/>
    </w:p>
    <w:p>
      <w:pPr>
        <w:pStyle w:val="765"/>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0"/>
      </w:pPr>
      <w:r/>
      <w:bookmarkStart w:id="809" w:name="_Toc28932"/>
      <w:r/>
      <w:bookmarkStart w:id="810" w:name="_Toc11710"/>
      <w:r/>
      <w:bookmarkStart w:id="811" w:name="_Toc30969"/>
      <w:r/>
      <w:bookmarkStart w:id="812" w:name="_Toc12389"/>
      <w:r/>
      <w:bookmarkStart w:id="813" w:name="_Toc27427"/>
      <w:r/>
      <w:bookmarkStart w:id="814" w:name="_Toc19279"/>
      <w:r/>
      <w:bookmarkStart w:id="815" w:name="_Toc8985"/>
      <w:r/>
      <w:bookmarkStart w:id="816" w:name="_Toc3351"/>
      <w:r>
        <w:rPr>
          <w:rFonts w:hint="eastAsia" w:ascii="宋体" w:hAnsi="宋体" w:eastAsia="宋体" w:cs="宋体"/>
          <w:b/>
          <w:color w:val="auto"/>
          <w:sz w:val="28"/>
          <w:szCs w:val="28"/>
        </w:rPr>
        <w:t xml:space="preserve">残疾人福利性单位声明函</w:t>
      </w:r>
      <w:bookmarkEnd w:id="809"/>
      <w:r/>
      <w:bookmarkEnd w:id="810"/>
      <w:r/>
      <w:bookmarkEnd w:id="811"/>
      <w:r/>
      <w:bookmarkEnd w:id="812"/>
      <w:r/>
      <w:bookmarkEnd w:id="813"/>
      <w:r/>
      <w:bookmarkEnd w:id="814"/>
      <w:r/>
      <w:bookmarkEnd w:id="815"/>
      <w:r/>
      <w:bookmarkEnd w:id="816"/>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单位的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项目由本单位承建。</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企业名称（盖章）：</w:t>
      </w:r>
      <w:r/>
    </w:p>
    <w:p>
      <w:pPr>
        <w:jc w:val="center"/>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　　　　　　　　　　　　　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2、成交供应商的《残疾人福利性单位声明函》随成交结果公开。</w:t>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br w:type="page" w:clear="all"/>
      </w:r>
      <w:bookmarkStart w:id="817" w:name="_Toc10898"/>
      <w:r/>
      <w:bookmarkStart w:id="818" w:name="_Toc29840"/>
      <w:r/>
      <w:bookmarkStart w:id="819" w:name="_Toc3894"/>
      <w:r/>
      <w:bookmarkStart w:id="820" w:name="_Toc25513"/>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bookmarkEnd w:id="798"/>
      <w:r/>
      <w:bookmarkEnd w:id="799"/>
      <w:r/>
      <w:bookmarkStart w:id="821" w:name="_Toc14505"/>
      <w:r/>
      <w:bookmarkStart w:id="822" w:name="_Toc26401"/>
      <w:r>
        <w:rPr>
          <w:rFonts w:hint="eastAsia" w:ascii="宋体" w:hAnsi="宋体" w:eastAsia="宋体" w:cs="宋体"/>
          <w:b/>
          <w:color w:val="auto"/>
          <w:sz w:val="28"/>
          <w:szCs w:val="28"/>
        </w:rPr>
        <w:t xml:space="preserve">资格证明文件</w:t>
      </w:r>
      <w:bookmarkEnd w:id="800"/>
      <w:r/>
      <w:bookmarkEnd w:id="817"/>
      <w:r/>
      <w:bookmarkEnd w:id="818"/>
      <w:r/>
      <w:bookmarkEnd w:id="819"/>
      <w:r/>
      <w:bookmarkEnd w:id="820"/>
      <w:r/>
      <w:bookmarkEnd w:id="821"/>
      <w:r/>
      <w:bookmarkEnd w:id="822"/>
      <w:r/>
      <w:r/>
    </w:p>
    <w:p>
      <w:pPr>
        <w:jc w:val="center"/>
        <w:spacing w:before="143"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请根据磋商文件对磋商供应商的资格要求（第一章 竞争性磋商采购公告</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二、申请人的资格要求），提供资格证明文件，格式自定。</w:t>
      </w:r>
      <w:r/>
    </w:p>
    <w:p>
      <w:pPr>
        <w:jc w:val="center"/>
        <w:spacing w:line="360" w:lineRule="auto"/>
        <w:rPr>
          <w:rFonts w:hint="eastAsia" w:ascii="宋体" w:hAnsi="宋体" w:eastAsia="宋体" w:cs="宋体"/>
          <w:b/>
          <w:color w:val="auto"/>
          <w:sz w:val="30"/>
          <w:szCs w:val="30"/>
        </w:rPr>
      </w:pPr>
      <w:r>
        <w:rPr>
          <w:rFonts w:hint="eastAsia" w:ascii="宋体" w:hAnsi="宋体" w:eastAsia="宋体" w:cs="宋体"/>
          <w:b/>
          <w:color w:val="auto"/>
          <w:sz w:val="32"/>
          <w:szCs w:val="32"/>
        </w:rPr>
        <w:br w:type="page" w:clear="all"/>
      </w:r>
      <w:r>
        <w:rPr>
          <w:rFonts w:hint="eastAsia" w:ascii="宋体" w:hAnsi="宋体" w:eastAsia="宋体" w:cs="宋体"/>
          <w:b/>
          <w:color w:val="auto"/>
          <w:sz w:val="30"/>
          <w:szCs w:val="30"/>
        </w:rPr>
        <w:t xml:space="preserve">财务状况报告及税收、社会保障资金</w:t>
      </w:r>
      <w:r/>
    </w:p>
    <w:p>
      <w:pPr>
        <w:jc w:val="center"/>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 xml:space="preserve">缴纳情况承诺函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采购人名称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w:t>
      </w:r>
      <w:r>
        <w:rPr>
          <w:rStyle w:val="751"/>
          <w:rFonts w:hint="eastAsia" w:ascii="宋体" w:hAnsi="宋体" w:eastAsia="宋体" w:cs="宋体"/>
          <w:b w:val="0"/>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具备履行合同所必需的设备和专业技术能力的声明及证明材料</w:t>
      </w:r>
      <w:r/>
    </w:p>
    <w:p>
      <w:pPr>
        <w:ind w:firstLine="492"/>
        <w:spacing w:line="360" w:lineRule="auto"/>
        <w:rPr>
          <w:rFonts w:hint="eastAsia" w:ascii="宋体" w:hAnsi="宋体" w:eastAsia="宋体" w:cs="宋体"/>
          <w:color w:val="auto"/>
        </w:rPr>
      </w:pPr>
      <w:r>
        <w:rPr>
          <w:rFonts w:hint="eastAsia" w:ascii="宋体" w:hAnsi="宋体" w:eastAsia="宋体" w:cs="宋体"/>
          <w:color w:val="auto"/>
        </w:rPr>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719"/>
        <w:rPr>
          <w:rFonts w:hint="eastAsia"/>
          <w:color w:val="auto"/>
        </w:rPr>
      </w:pPr>
      <w:r>
        <w:rPr>
          <w:rFonts w:hint="eastAsia"/>
          <w:color w:val="auto"/>
        </w:rPr>
      </w:r>
      <w:r/>
    </w:p>
    <w:p>
      <w:pPr>
        <w:ind w:firstLine="49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注：须附证明材料。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45"/>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供应商（公章）：</w:t>
      </w:r>
      <w:r>
        <w:rPr>
          <w:rFonts w:hint="eastAsia" w:ascii="宋体" w:hAnsi="宋体" w:eastAsia="宋体" w:cs="宋体"/>
          <w:color w:val="auto"/>
          <w:sz w:val="24"/>
          <w:szCs w:val="24"/>
          <w:u w:val="single"/>
        </w:rPr>
        <w:t xml:space="preserve">       </w:t>
      </w:r>
      <w:r/>
    </w:p>
    <w:p>
      <w:pPr>
        <w:pStyle w:val="745"/>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法定代表人或授权委托人（签字或盖章）：</w:t>
      </w:r>
      <w:r>
        <w:rPr>
          <w:rFonts w:hint="eastAsia" w:ascii="宋体" w:hAnsi="宋体" w:eastAsia="宋体" w:cs="宋体"/>
          <w:color w:val="auto"/>
          <w:sz w:val="24"/>
          <w:szCs w:val="24"/>
          <w:u w:val="single"/>
        </w:rPr>
        <w:t xml:space="preserve">     </w:t>
      </w:r>
      <w:r/>
    </w:p>
    <w:p>
      <w:pPr>
        <w:pStyle w:val="745"/>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日期：______年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20"/>
        <w:spacing w:line="360" w:lineRule="auto"/>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rPr>
          <w:rFonts w:hint="eastAsia" w:ascii="宋体" w:hAnsi="宋体" w:eastAsia="宋体" w:cs="宋体"/>
          <w:b/>
          <w:color w:val="auto"/>
          <w:szCs w:val="32"/>
        </w:rPr>
      </w:pPr>
      <w:r>
        <w:rPr>
          <w:rFonts w:hint="eastAsia" w:ascii="宋体" w:hAnsi="宋体" w:eastAsia="宋体" w:cs="宋体"/>
          <w:b/>
          <w:color w:val="auto"/>
          <w:szCs w:val="32"/>
        </w:rPr>
      </w:r>
      <w:r/>
    </w:p>
    <w:p>
      <w:pPr>
        <w:pStyle w:val="721"/>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21"/>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21"/>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21"/>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21"/>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color w:val="auto"/>
          <w:sz w:val="32"/>
          <w:szCs w:val="32"/>
        </w:rPr>
        <w:t xml:space="preserve">参加政府采购活动前 3 年内在经营活动中没有重大违法记录的</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rPr>
        <w:t xml:space="preserve">书面声明</w:t>
      </w:r>
      <w:r/>
    </w:p>
    <w:p>
      <w:pP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24"/>
        </w:rPr>
        <w:t xml:space="preserve">                       </w:t>
      </w:r>
      <w:r>
        <w:rPr>
          <w:rFonts w:hint="eastAsia" w:ascii="宋体" w:hAnsi="宋体" w:eastAsia="宋体" w:cs="宋体"/>
          <w:b/>
          <w:bCs/>
          <w:color w:val="auto"/>
          <w:sz w:val="44"/>
          <w:szCs w:val="44"/>
        </w:rPr>
        <w:t xml:space="preserve">   </w:t>
      </w:r>
      <w:r>
        <w:rPr>
          <w:rFonts w:hint="eastAsia" w:ascii="宋体" w:hAnsi="宋体" w:eastAsia="宋体" w:cs="宋体"/>
          <w:b/>
          <w:bCs/>
          <w:color w:val="auto"/>
          <w:sz w:val="32"/>
          <w:szCs w:val="32"/>
        </w:rPr>
        <w:t xml:space="preserve">  </w:t>
      </w:r>
      <w:r/>
    </w:p>
    <w:p>
      <w:pPr>
        <w:spacing w:line="360" w:lineRule="auto"/>
        <w:rPr>
          <w:rFonts w:hint="eastAsia" w:ascii="宋体" w:hAnsi="宋体" w:eastAsia="宋体" w:cs="宋体"/>
          <w:bCs/>
          <w:color w:val="auto"/>
          <w:sz w:val="24"/>
        </w:rPr>
      </w:pPr>
      <w:r>
        <w:rPr>
          <w:rFonts w:hint="eastAsia" w:ascii="宋体" w:hAnsi="宋体" w:eastAsia="宋体" w:cs="宋体"/>
          <w:b/>
          <w:bCs/>
          <w:color w:val="auto"/>
          <w:sz w:val="24"/>
        </w:rPr>
        <w:t xml:space="preserve">    </w:t>
      </w:r>
      <w:r>
        <w:rPr>
          <w:rFonts w:hint="eastAsia" w:ascii="宋体" w:hAnsi="宋体" w:eastAsia="宋体" w:cs="宋体"/>
          <w:bCs/>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w:t>
      </w:r>
      <w:r/>
    </w:p>
    <w:p>
      <w:pPr>
        <w:ind w:firstLine="5040"/>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供应商（公章）：</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法定代表人或授权代表签字：______</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日期：______年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p>
    <w:p>
      <w:pPr>
        <w:jc w:val="left"/>
        <w:spacing w:before="50" w:after="143"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r>
      <w:r/>
    </w:p>
    <w:p>
      <w:pPr>
        <w:jc w:val="left"/>
        <w:spacing w:before="50" w:after="143"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r>
      <w:r/>
    </w:p>
    <w:p>
      <w:pPr>
        <w:ind w:firstLine="480"/>
        <w:jc w:val="left"/>
        <w:spacing w:before="50" w:after="143" w:line="360" w:lineRule="auto"/>
        <w:rPr>
          <w:rFonts w:hint="eastAsia" w:ascii="宋体" w:hAnsi="宋体" w:eastAsia="宋体" w:cs="宋体"/>
          <w:b/>
          <w:bCs/>
          <w:i/>
          <w:color w:val="auto"/>
          <w:sz w:val="24"/>
          <w:u w:val="single"/>
        </w:rPr>
      </w:pPr>
      <w:r>
        <w:rPr>
          <w:rFonts w:hint="eastAsia" w:ascii="宋体" w:hAnsi="宋体" w:eastAsia="宋体" w:cs="宋体"/>
          <w:b/>
          <w:bCs/>
          <w:i/>
          <w:color w:val="auto"/>
          <w:sz w:val="24"/>
          <w:u w:val="single"/>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Cs w:val="21"/>
        </w:rPr>
        <w:br w:type="page" w:clear="all"/>
      </w:r>
      <w:bookmarkStart w:id="823" w:name="_Toc91256337"/>
      <w:r/>
      <w:bookmarkStart w:id="824" w:name="_Toc91183849"/>
      <w:r>
        <w:rPr>
          <w:rFonts w:hint="eastAsia" w:ascii="宋体" w:hAnsi="宋体" w:eastAsia="宋体" w:cs="宋体"/>
          <w:b/>
          <w:bCs/>
          <w:color w:val="auto"/>
          <w:sz w:val="32"/>
          <w:szCs w:val="32"/>
        </w:rPr>
        <w:t xml:space="preserve">法定代表人授权委托书</w:t>
      </w:r>
      <w:r/>
    </w:p>
    <w:p>
      <w:pPr>
        <w:pStyle w:val="745"/>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pStyle w:val="745"/>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本授权书声明：___________（供应商名称）授权___________（被授权人的姓名）为我方就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 xml:space="preserve">（项目编号）项目采购活动的合法代理人，以本单位名义全权处理一切与该项目采购有关的事务。</w:t>
      </w:r>
      <w:r/>
    </w:p>
    <w:p>
      <w:pPr>
        <w:pStyle w:val="745"/>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本授权书于______年____月____日起生效，特此声明。</w:t>
      </w:r>
      <w:r/>
    </w:p>
    <w:p>
      <w:pPr>
        <w:pStyle w:val="745"/>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被授权人身份证号码：</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5"/>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被授权人联系电话：（手机）</w:t>
      </w:r>
      <w:r>
        <w:rPr>
          <w:rFonts w:hint="eastAsia" w:ascii="宋体" w:hAnsi="宋体" w:eastAsia="宋体" w:cs="宋体"/>
          <w:color w:val="auto"/>
          <w:u w:val="single"/>
        </w:rPr>
        <w:t xml:space="preserve">       </w:t>
      </w:r>
      <w:r/>
    </w:p>
    <w:p>
      <w:pPr>
        <w:pStyle w:val="745"/>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45"/>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p>
    <w:p>
      <w:pPr>
        <w:pStyle w:val="745"/>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1、若供应商为事业单位或其他组织或分支机构（仅当磋商文件注明允许分支机构投标的），则法定代表人（单位负责人）处的签署人可为单位负责人。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2、若响应文件中全部签字之处均为法定代表人（单位负责人）本人签署，则可不提供本《授权委托书》，但须提供《法定代表人（单位负责人）身份证明》。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3、供应商为自然人的情形，可不提供本《授权委托书》。</w:t>
      </w:r>
      <w:bookmarkEnd w:id="823"/>
      <w:r/>
      <w:bookmarkEnd w:id="824"/>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法定代表人身份证明</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职务：</w:t>
      </w:r>
      <w:r>
        <w:rPr>
          <w:rFonts w:hint="eastAsia" w:ascii="宋体" w:hAnsi="宋体" w:eastAsia="宋体" w:cs="宋体"/>
          <w:color w:val="auto"/>
          <w:sz w:val="24"/>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系</w:t>
      </w:r>
      <w:r>
        <w:rPr>
          <w:rFonts w:hint="eastAsia" w:ascii="宋体" w:hAnsi="宋体" w:eastAsia="宋体" w:cs="宋体"/>
          <w:color w:val="auto"/>
          <w:sz w:val="24"/>
          <w:u w:val="single"/>
        </w:rPr>
        <w:tab/>
      </w:r>
      <w:r>
        <w:rPr>
          <w:rFonts w:hint="eastAsia" w:ascii="宋体" w:hAnsi="宋体" w:eastAsia="宋体" w:cs="宋体"/>
          <w:color w:val="auto"/>
          <w:sz w:val="24"/>
        </w:rPr>
        <w:t xml:space="preserve">（供应商名称）的法定代表人（单位负责人）。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ind w:right="-46"/>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z w:val="24"/>
        </w:rPr>
        <w:t xml:space="preserve">附：</w:t>
      </w:r>
      <w:r>
        <w:rPr>
          <w:rFonts w:hint="eastAsia" w:ascii="宋体" w:hAnsi="宋体" w:eastAsia="宋体" w:cs="宋体"/>
          <w:color w:val="auto"/>
          <w:spacing w:val="-3"/>
          <w:sz w:val="24"/>
        </w:rPr>
        <w:t xml:space="preserve">法</w:t>
      </w:r>
      <w:r>
        <w:rPr>
          <w:rFonts w:hint="eastAsia" w:ascii="宋体" w:hAnsi="宋体" w:eastAsia="宋体" w:cs="宋体"/>
          <w:color w:val="auto"/>
          <w:sz w:val="24"/>
        </w:rPr>
        <w:t xml:space="preserve">定</w:t>
      </w:r>
      <w:r>
        <w:rPr>
          <w:rFonts w:hint="eastAsia" w:ascii="宋体" w:hAnsi="宋体" w:eastAsia="宋体" w:cs="宋体"/>
          <w:color w:val="auto"/>
          <w:spacing w:val="-3"/>
          <w:sz w:val="24"/>
        </w:rPr>
        <w:t xml:space="preserve">代</w:t>
      </w:r>
      <w:r>
        <w:rPr>
          <w:rFonts w:hint="eastAsia" w:ascii="宋体" w:hAnsi="宋体" w:eastAsia="宋体" w:cs="宋体"/>
          <w:color w:val="auto"/>
          <w:sz w:val="24"/>
        </w:rPr>
        <w:t xml:space="preserve">表</w:t>
      </w:r>
      <w:r>
        <w:rPr>
          <w:rFonts w:hint="eastAsia" w:ascii="宋体" w:hAnsi="宋体" w:eastAsia="宋体" w:cs="宋体"/>
          <w:color w:val="auto"/>
          <w:spacing w:val="-3"/>
          <w:sz w:val="24"/>
        </w:rPr>
        <w:t xml:space="preserve">人</w:t>
      </w:r>
      <w:r>
        <w:rPr>
          <w:rFonts w:hint="eastAsia" w:ascii="宋体" w:hAnsi="宋体" w:eastAsia="宋体" w:cs="宋体"/>
          <w:color w:val="auto"/>
          <w:sz w:val="24"/>
        </w:rPr>
        <w:t xml:space="preserve">（</w:t>
      </w:r>
      <w:r>
        <w:rPr>
          <w:rFonts w:hint="eastAsia" w:ascii="宋体" w:hAnsi="宋体" w:eastAsia="宋体" w:cs="宋体"/>
          <w:color w:val="auto"/>
          <w:spacing w:val="-3"/>
          <w:sz w:val="24"/>
        </w:rPr>
        <w:t xml:space="preserve">单</w:t>
      </w:r>
      <w:r>
        <w:rPr>
          <w:rFonts w:hint="eastAsia" w:ascii="宋体" w:hAnsi="宋体" w:eastAsia="宋体" w:cs="宋体"/>
          <w:color w:val="auto"/>
          <w:sz w:val="24"/>
        </w:rPr>
        <w:t xml:space="preserve">位</w:t>
      </w:r>
      <w:r>
        <w:rPr>
          <w:rFonts w:hint="eastAsia" w:ascii="宋体" w:hAnsi="宋体" w:eastAsia="宋体" w:cs="宋体"/>
          <w:color w:val="auto"/>
          <w:spacing w:val="-3"/>
          <w:sz w:val="24"/>
        </w:rPr>
        <w:t xml:space="preserve">负</w:t>
      </w:r>
      <w:r>
        <w:rPr>
          <w:rFonts w:hint="eastAsia" w:ascii="宋体" w:hAnsi="宋体" w:eastAsia="宋体" w:cs="宋体"/>
          <w:color w:val="auto"/>
          <w:sz w:val="24"/>
        </w:rPr>
        <w:t xml:space="preserve">责人</w:t>
      </w:r>
      <w:r>
        <w:rPr>
          <w:rFonts w:hint="eastAsia" w:ascii="宋体" w:hAnsi="宋体" w:eastAsia="宋体" w:cs="宋体"/>
          <w:color w:val="auto"/>
          <w:spacing w:val="-3"/>
          <w:sz w:val="24"/>
        </w:rPr>
        <w:t xml:space="preserve">）有效期内的身份证正反面电子件。</w:t>
      </w:r>
      <w:r/>
    </w:p>
    <w:tbl>
      <w:tblPr>
        <w:tblStyle w:val="7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ind w:right="4305"/>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pacing w:val="-3"/>
          <w:sz w:val="24"/>
        </w:rPr>
      </w:r>
      <w:r/>
    </w:p>
    <w:p>
      <w:pPr>
        <w:pStyle w:val="745"/>
        <w:ind w:firstLine="480"/>
        <w:jc w:val="both"/>
        <w:spacing w:before="0" w:beforeAutospacing="0" w:after="0" w:afterAutospacing="0" w:line="360" w:lineRule="auto"/>
        <w:widowControl w:val="off"/>
        <w:tabs>
          <w:tab w:val="left" w:pos="360" w:leader="none"/>
        </w:tabs>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45"/>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5"/>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5"/>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u w:val="single"/>
        </w:rPr>
      </w:r>
      <w:r/>
    </w:p>
    <w:p>
      <w:pPr>
        <w:pStyle w:val="745"/>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说明：</w:t>
      </w:r>
      <w:r/>
    </w:p>
    <w:p>
      <w:pPr>
        <w:pStyle w:val="725"/>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1．委托书内容填写应当明确、文字工整清楚，涂改无效。</w:t>
      </w:r>
      <w:r/>
    </w:p>
    <w:p>
      <w:pPr>
        <w:pStyle w:val="725"/>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2．委托书不得转借、转让、买卖。</w:t>
      </w:r>
      <w:r/>
    </w:p>
    <w:p>
      <w:pPr>
        <w:pStyle w:val="725"/>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3．委托代理人根据授权范围，以委托单位的名义签订合同，并将此委托书提交给采购单位作为合同附件。</w:t>
      </w:r>
      <w:r/>
    </w:p>
    <w:p>
      <w:pPr>
        <w:pStyle w:val="991"/>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991"/>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991"/>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磋商供应商响应承诺书</w:t>
      </w:r>
      <w:r/>
    </w:p>
    <w:p>
      <w:pPr>
        <w:spacing w:line="360" w:lineRule="auto"/>
        <w:rPr>
          <w:rFonts w:hint="eastAsia" w:ascii="宋体" w:hAnsi="宋体" w:eastAsia="宋体" w:cs="宋体"/>
          <w:color w:val="auto"/>
          <w:u w:val="single"/>
        </w:rPr>
      </w:pPr>
      <w:r>
        <w:rPr>
          <w:rFonts w:hint="eastAsia" w:ascii="宋体" w:hAnsi="宋体" w:eastAsia="宋体" w:cs="宋体"/>
          <w:color w:val="auto"/>
          <w:u w:val="single"/>
        </w:rPr>
      </w:r>
      <w:r/>
    </w:p>
    <w:p>
      <w:pPr>
        <w:pStyle w:val="745"/>
        <w:ind w:left="0" w:right="0" w:firstLine="480"/>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我公司参与贵单位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工程项目的磋商，我单位郑重承诺： </w:t>
      </w:r>
      <w:r/>
    </w:p>
    <w:p>
      <w:pPr>
        <w:pStyle w:val="745"/>
        <w:ind w:left="0" w:firstLine="480"/>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1、拟派项目负责人</w:t>
      </w:r>
      <w:r>
        <w:rPr>
          <w:rFonts w:hint="eastAsia" w:ascii="宋体" w:hAnsi="宋体" w:eastAsia="宋体" w:cs="宋体"/>
          <w:color w:val="auto"/>
          <w:sz w:val="24"/>
          <w:szCs w:val="24"/>
          <w:u w:val="single"/>
        </w:rPr>
        <w:t xml:space="preserve">   （姓名） </w:t>
      </w:r>
      <w:r>
        <w:rPr>
          <w:rFonts w:hint="eastAsia" w:ascii="宋体" w:hAnsi="宋体" w:eastAsia="宋体" w:cs="宋体"/>
          <w:color w:val="auto"/>
          <w:sz w:val="24"/>
          <w:szCs w:val="24"/>
        </w:rPr>
        <w:t xml:space="preserve">同志在该项目磋商期间确无在建工程； </w:t>
      </w:r>
      <w:r/>
    </w:p>
    <w:p>
      <w:pPr>
        <w:pStyle w:val="745"/>
        <w:ind w:left="0" w:firstLine="480"/>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2、法定代表人</w:t>
      </w:r>
      <w:r>
        <w:rPr>
          <w:rFonts w:hint="eastAsia" w:ascii="宋体" w:hAnsi="宋体" w:eastAsia="宋体" w:cs="宋体"/>
          <w:color w:val="auto"/>
          <w:sz w:val="24"/>
          <w:szCs w:val="24"/>
          <w:u w:val="single"/>
        </w:rPr>
        <w:t xml:space="preserve">  （姓名）  </w:t>
      </w:r>
      <w:r>
        <w:rPr>
          <w:rFonts w:hint="eastAsia" w:ascii="宋体" w:hAnsi="宋体" w:eastAsia="宋体" w:cs="宋体"/>
          <w:color w:val="auto"/>
          <w:sz w:val="24"/>
          <w:szCs w:val="24"/>
        </w:rPr>
        <w:t xml:space="preserve">同志、拟派项目负责人</w:t>
      </w:r>
      <w:r>
        <w:rPr>
          <w:rFonts w:hint="eastAsia" w:ascii="宋体" w:hAnsi="宋体" w:eastAsia="宋体" w:cs="宋体"/>
          <w:color w:val="auto"/>
          <w:sz w:val="24"/>
          <w:szCs w:val="24"/>
          <w:u w:val="single"/>
        </w:rPr>
        <w:t xml:space="preserve">  （姓名）  </w:t>
      </w:r>
      <w:r>
        <w:rPr>
          <w:rFonts w:hint="eastAsia" w:ascii="宋体" w:hAnsi="宋体" w:eastAsia="宋体" w:cs="宋体"/>
          <w:color w:val="auto"/>
          <w:sz w:val="24"/>
          <w:szCs w:val="24"/>
        </w:rPr>
        <w:t xml:space="preserve">同志及本单位近 3 年以来无建筑市场不良行为； </w:t>
      </w:r>
      <w:r/>
    </w:p>
    <w:p>
      <w:pPr>
        <w:pStyle w:val="745"/>
        <w:ind w:left="0" w:firstLine="480"/>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3、我公司（超过 3 年）、法定代表人</w:t>
      </w:r>
      <w:r>
        <w:rPr>
          <w:rFonts w:hint="eastAsia" w:ascii="宋体" w:hAnsi="宋体" w:eastAsia="宋体" w:cs="宋体"/>
          <w:color w:val="auto"/>
          <w:sz w:val="24"/>
          <w:szCs w:val="24"/>
          <w:u w:val="single"/>
        </w:rPr>
        <w:t xml:space="preserve"> （姓名） </w:t>
      </w:r>
      <w:r>
        <w:rPr>
          <w:rFonts w:hint="eastAsia" w:ascii="宋体" w:hAnsi="宋体" w:eastAsia="宋体" w:cs="宋体"/>
          <w:color w:val="auto"/>
          <w:sz w:val="24"/>
          <w:szCs w:val="24"/>
        </w:rPr>
        <w:t xml:space="preserve">同志（超过 5 年）、所报项目负责人 </w:t>
      </w:r>
      <w:r>
        <w:rPr>
          <w:rFonts w:hint="eastAsia" w:ascii="宋体" w:hAnsi="宋体" w:eastAsia="宋体" w:cs="宋体"/>
          <w:color w:val="auto"/>
          <w:sz w:val="24"/>
          <w:szCs w:val="24"/>
          <w:u w:val="single"/>
        </w:rPr>
        <w:t xml:space="preserve"> （姓名）  </w:t>
      </w:r>
      <w:r>
        <w:rPr>
          <w:rFonts w:hint="eastAsia" w:ascii="宋体" w:hAnsi="宋体" w:eastAsia="宋体" w:cs="宋体"/>
          <w:color w:val="auto"/>
          <w:sz w:val="24"/>
          <w:szCs w:val="24"/>
        </w:rPr>
        <w:t xml:space="preserve">同志（超过 5 年）无行贿犯罪记录； </w:t>
      </w:r>
      <w:r/>
    </w:p>
    <w:p>
      <w:pPr>
        <w:pStyle w:val="745"/>
        <w:ind w:left="0" w:firstLine="480"/>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4、绝不出借挂靠资质； </w:t>
      </w:r>
      <w:r/>
    </w:p>
    <w:p>
      <w:pPr>
        <w:pStyle w:val="745"/>
        <w:ind w:left="0" w:firstLine="480"/>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5、磋商全过程（含质疑、投诉环节）出示的文件资料均是真实、有效的。 </w:t>
      </w:r>
      <w:r/>
    </w:p>
    <w:p>
      <w:pPr>
        <w:pStyle w:val="745"/>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6、未被“信用中国”网站（www.creditchina.gov.cn）、中国政府采购网（www.ccgp.gov.cn）列入失信被执行人、重大税收违法案件当事人名单、政府采购严重违法失信行为记录名单。</w:t>
      </w:r>
      <w:r/>
    </w:p>
    <w:p>
      <w:pPr>
        <w:pStyle w:val="745"/>
        <w:ind w:left="0" w:firstLine="480"/>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综上，我单位承诺如有虚假，愿意无条件接受被取消磋商或成交资格、磋商保证金不予退还、履约保证金不予退还、合同解除及清除出场，一切损失由我单位自行承担，同时愿意接受相关处罚，特此承诺！ </w:t>
      </w:r>
      <w:r/>
    </w:p>
    <w:p>
      <w:pPr>
        <w:pStyle w:val="745"/>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45"/>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45"/>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磋商供应商：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（盖章）       </w:t>
      </w:r>
      <w:r/>
    </w:p>
    <w:p>
      <w:pPr>
        <w:pStyle w:val="745"/>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法定代表人：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（签字或盖章） </w:t>
      </w:r>
      <w:r/>
    </w:p>
    <w:p>
      <w:pPr>
        <w:pStyle w:val="745"/>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项目负责人：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（签字）       </w:t>
      </w:r>
      <w:r/>
    </w:p>
    <w:p>
      <w:pPr>
        <w:pStyle w:val="745"/>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项目负责人证书编号：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           </w:t>
      </w:r>
      <w:r/>
    </w:p>
    <w:p>
      <w:pPr>
        <w:pStyle w:val="745"/>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745"/>
        <w:ind w:left="0" w:firstLine="480"/>
        <w:keepLines w:val="0"/>
        <w:keepNext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Cs/>
          <w:color w:val="auto"/>
        </w:rPr>
      </w:pPr>
      <w:r>
        <w:rPr>
          <w:rFonts w:hint="eastAsia" w:ascii="宋体" w:hAnsi="宋体" w:eastAsia="宋体" w:cs="宋体"/>
          <w:bCs/>
          <w:color w:val="auto"/>
        </w:rPr>
      </w:r>
      <w:r/>
    </w:p>
    <w:p>
      <w:pPr>
        <w:spacing w:line="360" w:lineRule="auto"/>
        <w:rPr>
          <w:rFonts w:hint="eastAsia" w:ascii="宋体" w:hAnsi="宋体" w:eastAsia="宋体" w:cs="宋体"/>
          <w:bCs/>
          <w:color w:val="auto"/>
        </w:rPr>
      </w:pPr>
      <w:r>
        <w:rPr>
          <w:rFonts w:hint="eastAsia" w:ascii="宋体" w:hAnsi="宋体" w:eastAsia="宋体" w:cs="宋体"/>
          <w:bCs/>
          <w:color w:val="auto"/>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企业资质动态监管核查承诺书</w:t>
      </w:r>
      <w:r/>
    </w:p>
    <w:p>
      <w:pPr>
        <w:spacing w:line="360" w:lineRule="auto"/>
        <w:rPr>
          <w:rFonts w:hint="eastAsia" w:ascii="宋体" w:hAnsi="宋体" w:eastAsia="宋体" w:cs="宋体"/>
          <w:color w:val="auto"/>
          <w:u w:val="single"/>
        </w:rPr>
      </w:pPr>
      <w:r>
        <w:rPr>
          <w:rFonts w:hint="eastAsia" w:ascii="宋体" w:hAnsi="宋体" w:eastAsia="宋体" w:cs="宋体"/>
          <w:color w:val="auto"/>
          <w:u w:val="single"/>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    （采购单位）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我公司参与贵单位</w:t>
      </w:r>
      <w:r>
        <w:rPr>
          <w:rFonts w:hint="eastAsia" w:ascii="宋体" w:hAnsi="宋体" w:eastAsia="宋体" w:cs="宋体"/>
          <w:color w:val="auto"/>
          <w:sz w:val="24"/>
          <w:u w:val="single"/>
        </w:rPr>
        <w:t xml:space="preserve">           （项目编号：     ）</w:t>
      </w:r>
      <w:r>
        <w:rPr>
          <w:rFonts w:hint="eastAsia" w:ascii="宋体" w:hAnsi="宋体" w:eastAsia="宋体" w:cs="宋体"/>
          <w:color w:val="auto"/>
          <w:sz w:val="24"/>
        </w:rPr>
        <w:t xml:space="preserve">项目的磋商，我公司郑重承诺：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1、我公司在磋商期间企业资质动态监管核查结果为合格。</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2、我公司在磋商响应有效期内企业资质动态监管核查为合格；若磋商响应有效期内企业资质动态监管核查不合格，将主动放弃成交资格。</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3、我公司承诺的均是真实、有效的。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综上，我公司承诺如有弄虚作假，违反规定参加磋商，将按有关法律法规和文件规定被取消磋商、成交资格，记录不良信用。一切损失由我公司自行承担，同时愿意接受相关处罚。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供应商（盖章）：</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法定代表人：（签字或盖章）</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b/>
          <w:bCs/>
          <w:color w:val="auto"/>
          <w:sz w:val="32"/>
          <w:szCs w:val="32"/>
        </w:rPr>
        <w:outlineLvl w:val="1"/>
      </w:pPr>
      <w:r>
        <w:rPr>
          <w:rFonts w:hint="eastAsia" w:ascii="宋体" w:hAnsi="宋体" w:eastAsia="宋体" w:cs="宋体"/>
          <w:b/>
          <w:bCs/>
          <w:color w:val="auto"/>
          <w:szCs w:val="21"/>
        </w:rPr>
        <w:br w:type="page" w:clear="all"/>
      </w:r>
      <w:bookmarkStart w:id="825" w:name="_Toc21851"/>
      <w:r/>
      <w:bookmarkStart w:id="826" w:name="_Toc14847"/>
      <w:r/>
      <w:bookmarkStart w:id="827" w:name="_Toc21287"/>
      <w:r/>
      <w:bookmarkStart w:id="828" w:name="_Toc18765"/>
      <w:r/>
      <w:bookmarkStart w:id="829" w:name="_Toc4326"/>
      <w:r/>
      <w:bookmarkStart w:id="830" w:name="_Toc2279"/>
      <w:r/>
      <w:bookmarkStart w:id="831" w:name="_Toc30442"/>
      <w:r>
        <w:rPr>
          <w:rFonts w:hint="eastAsia" w:ascii="宋体" w:hAnsi="宋体" w:eastAsia="宋体" w:cs="宋体"/>
          <w:b/>
          <w:bCs/>
          <w:color w:val="auto"/>
          <w:sz w:val="32"/>
          <w:szCs w:val="32"/>
          <w:lang w:val="en-US" w:eastAsia="zh-CN"/>
        </w:rPr>
        <w:t xml:space="preserve">五</w:t>
      </w:r>
      <w:r>
        <w:rPr>
          <w:rFonts w:hint="eastAsia" w:ascii="宋体" w:hAnsi="宋体" w:eastAsia="宋体" w:cs="宋体"/>
          <w:b/>
          <w:bCs/>
          <w:color w:val="auto"/>
          <w:sz w:val="32"/>
          <w:szCs w:val="32"/>
        </w:rPr>
        <w:t xml:space="preserve">、已标价的工程量清单</w:t>
      </w:r>
      <w:bookmarkEnd w:id="825"/>
      <w:r/>
      <w:bookmarkEnd w:id="826"/>
      <w:r/>
      <w:bookmarkEnd w:id="827"/>
      <w:r/>
      <w:bookmarkEnd w:id="828"/>
      <w:r/>
      <w:bookmarkEnd w:id="829"/>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t xml:space="preserve">注：各分项最终结算价按照磋商首次报价与最后报价作同比例变动。</w:t>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color w:val="auto"/>
        </w:rPr>
        <w:br w:type="page" w:clear="all"/>
      </w:r>
      <w:bookmarkEnd w:id="830"/>
      <w:r/>
      <w:bookmarkEnd w:id="831"/>
      <w:r/>
      <w:bookmarkStart w:id="832" w:name="_Toc20606"/>
      <w:r/>
      <w:bookmarkStart w:id="833" w:name="_Toc27900"/>
      <w:r/>
      <w:bookmarkStart w:id="834" w:name="_Toc23680"/>
      <w:r/>
      <w:bookmarkStart w:id="835" w:name="_Toc3637"/>
      <w:r/>
      <w:bookmarkStart w:id="836" w:name="_Toc536"/>
      <w:r>
        <w:rPr>
          <w:rFonts w:hint="eastAsia" w:ascii="宋体" w:hAnsi="宋体" w:eastAsia="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w:t>
      </w:r>
      <w:bookmarkEnd w:id="832"/>
      <w:r/>
      <w:bookmarkEnd w:id="833"/>
      <w:r>
        <w:rPr>
          <w:rFonts w:hint="eastAsia" w:ascii="宋体" w:hAnsi="宋体" w:eastAsia="宋体" w:cs="宋体"/>
          <w:b/>
          <w:bCs/>
          <w:color w:val="auto"/>
          <w:sz w:val="32"/>
          <w:szCs w:val="32"/>
        </w:rPr>
        <w:t xml:space="preserve">施工组织设计</w:t>
      </w:r>
      <w:bookmarkEnd w:id="834"/>
      <w:r/>
      <w:bookmarkEnd w:id="835"/>
      <w:r/>
      <w:bookmarkEnd w:id="836"/>
      <w:r/>
      <w:r/>
    </w:p>
    <w:p>
      <w:pPr>
        <w:pStyle w:val="727"/>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727"/>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（格式自定）</w:t>
      </w:r>
      <w:r/>
    </w:p>
    <w:p>
      <w:pPr>
        <w:pStyle w:val="727"/>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项目名称：</w:t>
      </w:r>
      <w:r>
        <w:rPr>
          <w:rFonts w:hint="eastAsia" w:ascii="宋体" w:hAnsi="宋体" w:eastAsia="宋体" w:cs="宋体"/>
          <w:color w:val="auto"/>
        </w:rPr>
        <w:t xml:space="preserve">【项目名称】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项目编号：【项目编号】</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pStyle w:val="719"/>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28"/>
          <w:szCs w:val="28"/>
        </w:rPr>
        <w:outlineLvl w:val="1"/>
      </w:pPr>
      <w:r>
        <w:rPr>
          <w:rFonts w:hint="eastAsia" w:ascii="宋体" w:hAnsi="宋体" w:eastAsia="宋体" w:cs="宋体"/>
          <w:b/>
          <w:bCs/>
          <w:color w:val="auto"/>
          <w:sz w:val="28"/>
          <w:szCs w:val="28"/>
        </w:rPr>
        <w:br w:type="page" w:clear="all"/>
      </w:r>
      <w:bookmarkStart w:id="837" w:name="_Toc18727"/>
      <w:r/>
      <w:bookmarkStart w:id="838" w:name="_Toc28783"/>
      <w:r/>
      <w:bookmarkStart w:id="839" w:name="_Toc7656"/>
      <w:r/>
      <w:bookmarkStart w:id="840" w:name="_Toc23272"/>
      <w:r/>
      <w:bookmarkStart w:id="841" w:name="_Toc32188"/>
      <w:r/>
      <w:bookmarkStart w:id="842" w:name="_Toc25888"/>
      <w:r/>
      <w:bookmarkStart w:id="843" w:name="_Toc6824"/>
      <w:r>
        <w:rPr>
          <w:rFonts w:hint="eastAsia" w:ascii="宋体" w:hAnsi="宋体" w:cs="宋体"/>
          <w:b/>
          <w:bCs/>
          <w:color w:val="auto"/>
          <w:sz w:val="28"/>
          <w:szCs w:val="28"/>
          <w:lang w:val="en-US" w:eastAsia="zh-CN"/>
        </w:rPr>
        <w:t xml:space="preserve">七</w:t>
      </w:r>
      <w:r>
        <w:rPr>
          <w:rFonts w:hint="eastAsia" w:ascii="宋体" w:hAnsi="宋体" w:eastAsia="宋体" w:cs="宋体"/>
          <w:b/>
          <w:bCs/>
          <w:color w:val="auto"/>
          <w:sz w:val="28"/>
          <w:szCs w:val="28"/>
        </w:rPr>
        <w:t xml:space="preserve">、类似项目业绩一览表</w:t>
      </w:r>
      <w:bookmarkEnd w:id="837"/>
      <w:r/>
      <w:bookmarkEnd w:id="838"/>
      <w:r/>
      <w:bookmarkEnd w:id="839"/>
      <w:r/>
      <w:bookmarkEnd w:id="840"/>
      <w:r/>
      <w:bookmarkEnd w:id="841"/>
      <w:r/>
      <w:bookmarkEnd w:id="842"/>
      <w:r/>
      <w:bookmarkEnd w:id="843"/>
      <w:r/>
      <w:r/>
    </w:p>
    <w:p>
      <w:pPr>
        <w:pStyle w:val="704"/>
        <w:jc w:val="center"/>
        <w:spacing w:line="360" w:lineRule="auto"/>
        <w:rPr>
          <w:rFonts w:hint="eastAsia" w:ascii="宋体" w:hAnsi="宋体" w:eastAsia="宋体" w:cs="宋体"/>
          <w:color w:val="auto"/>
        </w:rPr>
      </w:pPr>
      <w:r>
        <w:rPr>
          <w:rFonts w:hint="eastAsia" w:ascii="宋体" w:hAnsi="宋体" w:eastAsia="宋体" w:cs="宋体"/>
          <w:color w:val="auto"/>
          <w:sz w:val="32"/>
          <w:szCs w:val="32"/>
        </w:rPr>
        <w:t xml:space="preserve">类似项目业绩一览表</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序号</w:t>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工程名称</w:t>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签订时间</w:t>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业主单位</w:t>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合同金额</w:t>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72"/>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bl>
    <w:p>
      <w:pPr>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法定代表人或授权委托人签字或盖章：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19"/>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19"/>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19"/>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19"/>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19"/>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b/>
          <w:bCs/>
          <w:color w:val="auto"/>
          <w:sz w:val="28"/>
        </w:rPr>
        <w:outlineLvl w:val="1"/>
      </w:pPr>
      <w:r/>
      <w:bookmarkStart w:id="844" w:name="_Toc15270"/>
      <w:r/>
      <w:bookmarkStart w:id="845" w:name="_Toc860"/>
      <w:r/>
      <w:bookmarkStart w:id="846" w:name="_Toc12695"/>
      <w:r/>
      <w:bookmarkStart w:id="847" w:name="_Toc7264"/>
      <w:r/>
      <w:bookmarkStart w:id="848" w:name="_Toc13885"/>
      <w:r/>
      <w:bookmarkStart w:id="849" w:name="_Toc24229"/>
      <w:r/>
      <w:bookmarkStart w:id="850" w:name="_Toc21128"/>
      <w:r>
        <w:rPr>
          <w:rFonts w:hint="eastAsia" w:ascii="宋体" w:hAnsi="宋体" w:cs="宋体"/>
          <w:b/>
          <w:bCs/>
          <w:color w:val="auto"/>
          <w:sz w:val="28"/>
          <w:lang w:eastAsia="zh-CN"/>
        </w:rPr>
        <w:t xml:space="preserve">八</w:t>
      </w:r>
      <w:r>
        <w:rPr>
          <w:rFonts w:hint="eastAsia" w:ascii="宋体" w:hAnsi="宋体" w:eastAsia="宋体" w:cs="宋体"/>
          <w:b/>
          <w:bCs/>
          <w:color w:val="auto"/>
          <w:sz w:val="28"/>
        </w:rPr>
        <w:t xml:space="preserve">、其它材料</w:t>
      </w:r>
      <w:bookmarkEnd w:id="844"/>
      <w:r/>
      <w:bookmarkEnd w:id="845"/>
      <w:r/>
      <w:bookmarkEnd w:id="846"/>
      <w:r/>
      <w:bookmarkEnd w:id="847"/>
      <w:r/>
      <w:bookmarkEnd w:id="848"/>
      <w:r/>
      <w:bookmarkEnd w:id="849"/>
      <w:r/>
      <w:bookmarkEnd w:id="850"/>
      <w:r/>
      <w:r/>
    </w:p>
    <w:p>
      <w:pPr>
        <w:ind w:firstLine="42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jc w:val="center"/>
        <w:spacing w:line="360" w:lineRule="auto"/>
        <w:rPr>
          <w:rFonts w:hint="eastAsia" w:ascii="宋体" w:hAnsi="宋体" w:eastAsia="宋体" w:cs="宋体"/>
          <w:color w:val="auto"/>
          <w:sz w:val="24"/>
        </w:rPr>
      </w:pPr>
      <w:r/>
      <w:bookmarkStart w:id="851" w:name="_Toc15866"/>
      <w:r/>
      <w:bookmarkStart w:id="852" w:name="_Toc4695"/>
      <w:r/>
      <w:bookmarkStart w:id="853" w:name="_Toc11517_WPSOffice_Level1"/>
      <w:r/>
      <w:bookmarkStart w:id="854" w:name="_Toc10037"/>
      <w:r>
        <w:rPr>
          <w:rFonts w:hint="eastAsia" w:ascii="宋体" w:hAnsi="宋体" w:eastAsia="宋体" w:cs="宋体"/>
          <w:color w:val="auto"/>
          <w:sz w:val="24"/>
        </w:rPr>
        <w:t xml:space="preserve">供应商认为有必要提供的材料或评分标准中需要提供的材料。</w:t>
      </w:r>
      <w:bookmarkEnd w:id="851"/>
      <w:r/>
      <w:bookmarkEnd w:id="852"/>
      <w:r/>
      <w:bookmarkEnd w:id="853"/>
      <w:r/>
      <w:bookmarkEnd w:id="854"/>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cs="仿宋"/>
          <w:b/>
          <w:bCs/>
          <w:iCs/>
          <w:color w:val="auto"/>
          <w:sz w:val="32"/>
          <w:szCs w:val="32"/>
        </w:rPr>
      </w:pPr>
      <w:r>
        <w:rPr>
          <w:rFonts w:hint="eastAsia" w:ascii="宋体" w:hAnsi="宋体" w:cs="仿宋"/>
          <w:b/>
          <w:bCs/>
          <w:iCs/>
          <w:color w:val="auto"/>
          <w:sz w:val="32"/>
          <w:szCs w:val="32"/>
        </w:rPr>
        <w:t xml:space="preserve">质疑函范本</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一、质疑供应商基本信息</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质疑供应商：</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联系人：</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授权代表：</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ascii="宋体" w:hAnsi="宋体" w:cs="仿宋"/>
          <w:iCs/>
          <w:color w:val="auto"/>
          <w:sz w:val="24"/>
          <w:szCs w:val="24"/>
        </w:rPr>
        <w:t xml:space="preserve"> </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二、质疑项目基本情况</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质疑项目的编号：</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包号：</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采购人名称：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采购文件获取日期：</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三、质疑事项具体内容</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质疑事项1：</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事实依据：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法律依据：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质疑事项2</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四、与质疑事项相关的质疑请求</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请求：</w:t>
      </w:r>
      <w:r>
        <w:rPr>
          <w:rFonts w:hint="eastAsia" w:ascii="宋体" w:hAnsi="宋体" w:cs="仿宋"/>
          <w:iCs/>
          <w:color w:val="auto"/>
          <w:sz w:val="24"/>
          <w:szCs w:val="24"/>
          <w:u w:val="single"/>
        </w:rPr>
        <w:t xml:space="preserve">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签字(签章)：                   公章：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日期：    </w:t>
      </w:r>
      <w:r/>
    </w:p>
    <w:p>
      <w:pPr>
        <w:ind w:firstLine="0"/>
        <w:spacing w:line="312" w:lineRule="auto"/>
        <w:rPr>
          <w:rFonts w:hint="eastAsia" w:ascii="宋体" w:hAnsi="宋体"/>
          <w:b/>
          <w:iCs/>
          <w:color w:val="auto"/>
          <w:sz w:val="24"/>
          <w:szCs w:val="24"/>
        </w:rPr>
      </w:pPr>
      <w:r>
        <w:rPr>
          <w:rFonts w:hint="eastAsia" w:ascii="宋体" w:hAnsi="宋体"/>
          <w:b/>
          <w:iCs/>
          <w:color w:val="auto"/>
          <w:sz w:val="24"/>
          <w:szCs w:val="24"/>
        </w:rPr>
        <w:t xml:space="preserve">质疑函制作说明：</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1.供应商提出质疑时，应提交质疑函和必要的证明材料。</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2.质疑供应商若委托代理人进行质疑的，质疑函应按要求列明“授权代表”的有关内容，并在附件中提交由质疑</w:t>
      </w:r>
      <w:r>
        <w:rPr>
          <w:rFonts w:hint="eastAsia" w:ascii="宋体" w:hAnsi="宋体" w:cs="宋体"/>
          <w:iCs/>
          <w:color w:val="auto"/>
          <w:sz w:val="24"/>
          <w:szCs w:val="24"/>
        </w:rPr>
        <w:t xml:space="preserve">供应商签署的授权委托书。授权委托书应载明代理人的姓名或者名称、代理事项、具体权限、期限和相关事项。</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3.质疑供应商若对项目的某一分包进行质疑，质疑函中应列明具体分包号。</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4.质疑函的质疑事项应具体、明确，并有必要的事实依据和法律依据。</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5.质疑函的质疑请求应与质疑事项相关。</w:t>
      </w:r>
      <w:r/>
    </w:p>
    <w:p>
      <w:pPr>
        <w:spacing w:line="360" w:lineRule="auto"/>
        <w:rPr>
          <w:rFonts w:hint="eastAsia" w:ascii="宋体" w:hAnsi="宋体" w:eastAsia="宋体" w:cs="宋体"/>
          <w:color w:val="auto"/>
          <w:sz w:val="24"/>
          <w:szCs w:val="24"/>
        </w:rPr>
      </w:pPr>
      <w:r>
        <w:rPr>
          <w:rFonts w:hint="eastAsia" w:ascii="宋体" w:hAnsi="宋体"/>
          <w:iCs/>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rPr>
          <w:color w:val="auto"/>
        </w:rPr>
      </w:pPr>
      <w:r>
        <w:rPr>
          <w:color w:val="auto"/>
        </w:rPr>
      </w:r>
      <w:r/>
    </w:p>
    <w:p>
      <w:pPr>
        <w:rPr>
          <w:color w:val="auto"/>
        </w:rPr>
      </w:pPr>
      <w:r>
        <w:rPr>
          <w:color w:val="auto"/>
        </w:rPr>
      </w:r>
      <w:r/>
    </w:p>
    <w:p>
      <w:pPr>
        <w:rPr>
          <w:color w:val="auto"/>
        </w:rPr>
      </w:pPr>
      <w:r>
        <w:rPr>
          <w:color w:val="auto"/>
        </w:rPr>
      </w:r>
      <w:r/>
    </w:p>
    <w:sectPr>
      <w:footerReference w:type="default" r:id="rId11"/>
      <w:footnotePr/>
      <w:endnotePr/>
      <w:type w:val="nextPage"/>
      <w:pgSz w:w="11906" w:h="16838" w:orient="portrait"/>
      <w:pgMar w:top="1247" w:right="1134" w:bottom="1021" w:left="1361" w:header="102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PMingLiU">
    <w:panose1 w:val="02020500000000000000"/>
  </w:font>
  <w:font w:name="Symbol">
    <w:panose1 w:val="05050102010706020507"/>
  </w:font>
  <w:font w:name="新宋体">
    <w:panose1 w:val="02010609030101010101"/>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Calibri">
    <w:panose1 w:val="020F050202020403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3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1653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43510" cy="216535"/>
                      </a:xfrm>
                      <a:prstGeom prst="rect">
                        <a:avLst/>
                      </a:prstGeom>
                      <a:noFill/>
                      <a:ln>
                        <a:noFill/>
                      </a:ln>
                    </wps:spPr>
                    <wps:txbx>
                      <w:txbxContent>
                        <w:p>
                          <w:pPr>
                            <w:pStyle w:val="73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lIns="0" tIns="0" rIns="0" bIns="0" anchor="t" anchorCtr="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3pt;height:17.1pt;mso-wrap-distance-left:9.0pt;mso-wrap-distance-top:0.0pt;mso-wrap-distance-right:9.0pt;mso-wrap-distance-bottom:0.0pt;v-text-anchor:top;visibility:visible;" filled="f" stroked="f">
              <v:textbox inset="0,0,0,0">
                <w:txbxContent>
                  <w:p>
                    <w:pPr>
                      <w:pStyle w:val="73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965"/>
      <w:isLgl w:val="false"/>
      <w:suff w:val="tab"/>
      <w:lvlText w:val="第%1章"/>
      <w:lvlJc w:val="left"/>
      <w:pPr>
        <w:ind w:left="9351" w:hanging="420"/>
      </w:pPr>
      <w:rPr>
        <w:rFonts w:hint="eastAsia" w:ascii="黑体" w:eastAsia="黑体"/>
        <w:b w:val="0"/>
        <w:sz w:val="36"/>
        <w:lang w:val="en-US"/>
      </w:rPr>
    </w:lvl>
    <w:lvl w:ilvl="1">
      <w:start w:val="1"/>
      <w:numFmt w:val="decimal"/>
      <w:pStyle w:val="966"/>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7"/>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5"/>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5"/>
  </w:num>
  <w:num w:numId="5">
    <w:abstractNumId w:val="6"/>
  </w:num>
  <w:num w:numId="6">
    <w:abstractNumId w:val="7"/>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01">
    <w:name w:val="Heading 1"/>
    <w:basedOn w:val="700"/>
    <w:next w:val="700"/>
    <w:link w:val="933"/>
    <w:uiPriority w:val="0"/>
    <w:qFormat/>
    <w:pPr>
      <w:keepNext/>
      <w:outlineLvl w:val="0"/>
    </w:pPr>
    <w:rPr>
      <w:rFonts w:ascii="楷体_GB2312" w:eastAsia="楷体_GB2312"/>
      <w:sz w:val="28"/>
      <w:szCs w:val="20"/>
    </w:rPr>
  </w:style>
  <w:style w:type="paragraph" w:styleId="702">
    <w:name w:val="Heading 2"/>
    <w:basedOn w:val="700"/>
    <w:next w:val="700"/>
    <w:link w:val="785"/>
    <w:uiPriority w:val="0"/>
    <w:qFormat/>
    <w:pPr>
      <w:jc w:val="center"/>
      <w:keepLines/>
      <w:keepNext/>
      <w:spacing w:before="260" w:after="260" w:line="416" w:lineRule="auto"/>
      <w:outlineLvl w:val="1"/>
    </w:pPr>
    <w:rPr>
      <w:rFonts w:ascii="Arial" w:hAnsi="Arial" w:eastAsia="幼圆"/>
      <w:b/>
      <w:sz w:val="44"/>
      <w:szCs w:val="20"/>
    </w:rPr>
  </w:style>
  <w:style w:type="paragraph" w:styleId="703">
    <w:name w:val="Heading 3"/>
    <w:basedOn w:val="700"/>
    <w:next w:val="700"/>
    <w:link w:val="786"/>
    <w:uiPriority w:val="0"/>
    <w:qFormat/>
    <w:pPr>
      <w:keepLines/>
      <w:keepNext/>
      <w:spacing w:before="260" w:after="260" w:line="416" w:lineRule="auto"/>
      <w:outlineLvl w:val="2"/>
    </w:pPr>
    <w:rPr>
      <w:b/>
      <w:sz w:val="32"/>
      <w:szCs w:val="20"/>
    </w:rPr>
  </w:style>
  <w:style w:type="paragraph" w:styleId="704">
    <w:name w:val="Heading 4"/>
    <w:basedOn w:val="700"/>
    <w:next w:val="700"/>
    <w:link w:val="787"/>
    <w:uiPriority w:val="0"/>
    <w:qFormat/>
    <w:pPr>
      <w:keepLines/>
      <w:keepNext/>
      <w:spacing w:before="280" w:after="290" w:line="376" w:lineRule="auto"/>
      <w:outlineLvl w:val="3"/>
    </w:pPr>
    <w:rPr>
      <w:rFonts w:ascii="Arial" w:hAnsi="Arial" w:eastAsia="黑体"/>
      <w:b/>
      <w:bCs/>
      <w:sz w:val="28"/>
      <w:szCs w:val="28"/>
    </w:rPr>
  </w:style>
  <w:style w:type="paragraph" w:styleId="705">
    <w:name w:val="Heading 5"/>
    <w:basedOn w:val="700"/>
    <w:next w:val="700"/>
    <w:link w:val="788"/>
    <w:uiPriority w:val="0"/>
    <w:qFormat/>
    <w:pPr>
      <w:keepNext/>
      <w:outlineLvl w:val="4"/>
    </w:pPr>
    <w:rPr>
      <w:rFonts w:ascii="宋体" w:hAnsi="宋体"/>
      <w:b/>
      <w:bCs/>
    </w:rPr>
  </w:style>
  <w:style w:type="paragraph" w:styleId="706">
    <w:name w:val="Heading 6"/>
    <w:basedOn w:val="700"/>
    <w:next w:val="700"/>
    <w:link w:val="789"/>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91"/>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92"/>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Normal Indent"/>
    <w:basedOn w:val="700"/>
    <w:link w:val="937"/>
    <w:uiPriority w:val="0"/>
    <w:qFormat/>
    <w:pPr>
      <w:ind w:firstLine="420"/>
    </w:pPr>
    <w:rPr>
      <w:szCs w:val="20"/>
    </w:rPr>
  </w:style>
  <w:style w:type="paragraph" w:styleId="714">
    <w:name w:val="Caption"/>
    <w:basedOn w:val="700"/>
    <w:next w:val="700"/>
    <w:uiPriority w:val="35"/>
    <w:semiHidden/>
    <w:unhideWhenUsed/>
    <w:qFormat/>
    <w:pPr>
      <w:spacing w:line="276" w:lineRule="auto"/>
    </w:pPr>
    <w:rPr>
      <w:b/>
      <w:bCs/>
      <w:color w:val="4f81bd"/>
      <w:sz w:val="18"/>
      <w:szCs w:val="18"/>
    </w:rPr>
  </w:style>
  <w:style w:type="paragraph" w:styleId="715">
    <w:name w:val="Document Map"/>
    <w:basedOn w:val="700"/>
    <w:uiPriority w:val="0"/>
    <w:semiHidden/>
    <w:qFormat/>
    <w:pPr>
      <w:shd w:val="clear" w:color="auto" w:fill="000080"/>
    </w:pPr>
  </w:style>
  <w:style w:type="paragraph" w:styleId="716">
    <w:name w:val="annotation text"/>
    <w:basedOn w:val="700"/>
    <w:link w:val="941"/>
    <w:uiPriority w:val="0"/>
    <w:qFormat/>
    <w:pPr>
      <w:jc w:val="left"/>
    </w:pPr>
  </w:style>
  <w:style w:type="paragraph" w:styleId="717">
    <w:name w:val="Body Text 3"/>
    <w:basedOn w:val="700"/>
    <w:uiPriority w:val="0"/>
    <w:qFormat/>
    <w:rPr>
      <w:rFonts w:ascii="仿宋_GB2312" w:hAnsi="Arial" w:eastAsia="仿宋_GB2312"/>
      <w:sz w:val="32"/>
      <w:szCs w:val="20"/>
    </w:rPr>
  </w:style>
  <w:style w:type="paragraph" w:styleId="718">
    <w:name w:val="Body Text"/>
    <w:basedOn w:val="700"/>
    <w:next w:val="719"/>
    <w:uiPriority w:val="0"/>
    <w:qFormat/>
    <w:rPr>
      <w:rFonts w:ascii="楷体_GB2312" w:hAnsi="Arial" w:eastAsia="楷体_GB2312"/>
      <w:sz w:val="28"/>
      <w:szCs w:val="20"/>
    </w:rPr>
  </w:style>
  <w:style w:type="paragraph" w:styleId="719"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720">
    <w:name w:val="Body Text Indent"/>
    <w:basedOn w:val="700"/>
    <w:next w:val="721"/>
    <w:uiPriority w:val="0"/>
    <w:qFormat/>
    <w:pPr>
      <w:ind w:firstLine="645"/>
    </w:pPr>
    <w:rPr>
      <w:rFonts w:ascii="楷体_GB2312" w:eastAsia="楷体_GB2312"/>
      <w:sz w:val="32"/>
      <w:szCs w:val="20"/>
    </w:rPr>
  </w:style>
  <w:style w:type="paragraph" w:styleId="721">
    <w:name w:val="envelope return"/>
    <w:basedOn w:val="700"/>
    <w:uiPriority w:val="99"/>
    <w:qFormat/>
    <w:rPr>
      <w:rFonts w:ascii="Arial" w:hAnsi="Arial"/>
    </w:rPr>
  </w:style>
  <w:style w:type="paragraph" w:styleId="722">
    <w:name w:val="Block Text"/>
    <w:basedOn w:val="700"/>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23">
    <w:name w:val="toc 5"/>
    <w:basedOn w:val="700"/>
    <w:next w:val="700"/>
    <w:uiPriority w:val="39"/>
    <w:unhideWhenUsed/>
    <w:qFormat/>
    <w:pPr>
      <w:ind w:left="1134"/>
      <w:spacing w:after="57"/>
    </w:pPr>
  </w:style>
  <w:style w:type="paragraph" w:styleId="724">
    <w:name w:val="toc 3"/>
    <w:basedOn w:val="700"/>
    <w:next w:val="700"/>
    <w:uiPriority w:val="39"/>
    <w:unhideWhenUsed/>
    <w:qFormat/>
    <w:pPr>
      <w:ind w:left="567"/>
      <w:spacing w:after="57"/>
    </w:pPr>
  </w:style>
  <w:style w:type="paragraph" w:styleId="725">
    <w:name w:val="Plain Text"/>
    <w:basedOn w:val="700"/>
    <w:link w:val="932"/>
    <w:uiPriority w:val="0"/>
    <w:qFormat/>
    <w:rPr>
      <w:rFonts w:hAnsi="Courier New" w:eastAsia="楷体_GB2312"/>
      <w:color w:val="000000"/>
      <w:sz w:val="26"/>
    </w:rPr>
  </w:style>
  <w:style w:type="paragraph" w:styleId="726">
    <w:name w:val="toc 8"/>
    <w:basedOn w:val="700"/>
    <w:next w:val="700"/>
    <w:uiPriority w:val="39"/>
    <w:unhideWhenUsed/>
    <w:qFormat/>
    <w:pPr>
      <w:ind w:left="1984"/>
      <w:spacing w:after="57"/>
    </w:pPr>
  </w:style>
  <w:style w:type="paragraph" w:styleId="727">
    <w:name w:val="Date"/>
    <w:basedOn w:val="700"/>
    <w:next w:val="700"/>
    <w:uiPriority w:val="0"/>
    <w:qFormat/>
    <w:rPr>
      <w:sz w:val="24"/>
      <w:szCs w:val="20"/>
    </w:rPr>
  </w:style>
  <w:style w:type="paragraph" w:styleId="728">
    <w:name w:val="Body Text Indent 2"/>
    <w:basedOn w:val="700"/>
    <w:uiPriority w:val="0"/>
    <w:qFormat/>
    <w:pPr>
      <w:ind w:firstLine="560"/>
    </w:pPr>
    <w:rPr>
      <w:rFonts w:ascii="宋体" w:hAnsi="宋体"/>
      <w:sz w:val="28"/>
    </w:rPr>
  </w:style>
  <w:style w:type="paragraph" w:styleId="729">
    <w:name w:val="endnote text"/>
    <w:basedOn w:val="700"/>
    <w:link w:val="930"/>
    <w:uiPriority w:val="99"/>
    <w:semiHidden/>
    <w:unhideWhenUsed/>
    <w:qFormat/>
    <w:rPr>
      <w:sz w:val="20"/>
    </w:rPr>
  </w:style>
  <w:style w:type="paragraph" w:styleId="730">
    <w:name w:val="Balloon Text"/>
    <w:basedOn w:val="700"/>
    <w:uiPriority w:val="0"/>
    <w:semiHidden/>
    <w:qFormat/>
    <w:rPr>
      <w:sz w:val="18"/>
      <w:szCs w:val="18"/>
    </w:rPr>
  </w:style>
  <w:style w:type="paragraph" w:styleId="731">
    <w:name w:val="Footer"/>
    <w:basedOn w:val="700"/>
    <w:link w:val="803"/>
    <w:uiPriority w:val="0"/>
    <w:qFormat/>
    <w:pPr>
      <w:jc w:val="left"/>
      <w:tabs>
        <w:tab w:val="center" w:pos="4153" w:leader="none"/>
        <w:tab w:val="right" w:pos="8306" w:leader="none"/>
      </w:tabs>
    </w:pPr>
    <w:rPr>
      <w:sz w:val="18"/>
      <w:szCs w:val="20"/>
    </w:rPr>
  </w:style>
  <w:style w:type="paragraph" w:styleId="732">
    <w:name w:val="Header"/>
    <w:basedOn w:val="700"/>
    <w:link w:val="801"/>
    <w:uiPriority w:val="0"/>
    <w:qFormat/>
    <w:pPr>
      <w:jc w:val="center"/>
      <w:tabs>
        <w:tab w:val="center" w:pos="4153" w:leader="none"/>
        <w:tab w:val="right" w:pos="8306" w:leader="none"/>
      </w:tabs>
      <w:pBdr>
        <w:bottom w:val="single" w:color="000000" w:sz="6" w:space="1"/>
      </w:pBdr>
    </w:pPr>
    <w:rPr>
      <w:sz w:val="18"/>
      <w:szCs w:val="18"/>
    </w:rPr>
  </w:style>
  <w:style w:type="paragraph" w:styleId="733">
    <w:name w:val="toc 1"/>
    <w:basedOn w:val="700"/>
    <w:next w:val="700"/>
    <w:uiPriority w:val="39"/>
    <w:unhideWhenUsed/>
    <w:qFormat/>
    <w:pPr>
      <w:spacing w:after="57"/>
    </w:pPr>
  </w:style>
  <w:style w:type="paragraph" w:styleId="734">
    <w:name w:val="toc 4"/>
    <w:basedOn w:val="700"/>
    <w:next w:val="700"/>
    <w:uiPriority w:val="39"/>
    <w:unhideWhenUsed/>
    <w:qFormat/>
    <w:pPr>
      <w:ind w:left="850"/>
      <w:spacing w:after="57"/>
    </w:pPr>
  </w:style>
  <w:style w:type="paragraph" w:styleId="735">
    <w:name w:val="Subtitle"/>
    <w:basedOn w:val="700"/>
    <w:next w:val="700"/>
    <w:link w:val="943"/>
    <w:uiPriority w:val="0"/>
    <w:qFormat/>
    <w:pPr>
      <w:jc w:val="center"/>
      <w:spacing w:before="240" w:after="60" w:line="312" w:lineRule="auto"/>
      <w:outlineLvl w:val="1"/>
    </w:pPr>
    <w:rPr>
      <w:rFonts w:ascii="Cambria" w:hAnsi="Cambria"/>
      <w:b/>
      <w:bCs/>
      <w:sz w:val="32"/>
      <w:szCs w:val="32"/>
    </w:rPr>
  </w:style>
  <w:style w:type="paragraph" w:styleId="736">
    <w:name w:val="footnote text"/>
    <w:basedOn w:val="700"/>
    <w:link w:val="929"/>
    <w:uiPriority w:val="99"/>
    <w:semiHidden/>
    <w:unhideWhenUsed/>
    <w:qFormat/>
    <w:pPr>
      <w:spacing w:after="40"/>
    </w:pPr>
    <w:rPr>
      <w:sz w:val="18"/>
    </w:rPr>
  </w:style>
  <w:style w:type="paragraph" w:styleId="737">
    <w:name w:val="toc 6"/>
    <w:basedOn w:val="700"/>
    <w:next w:val="700"/>
    <w:uiPriority w:val="39"/>
    <w:unhideWhenUsed/>
    <w:qFormat/>
    <w:pPr>
      <w:ind w:left="1417"/>
      <w:spacing w:after="57"/>
    </w:pPr>
  </w:style>
  <w:style w:type="paragraph" w:styleId="738">
    <w:name w:val="Body Text Indent 3"/>
    <w:basedOn w:val="700"/>
    <w:uiPriority w:val="0"/>
    <w:qFormat/>
    <w:pPr>
      <w:ind w:firstLine="523"/>
    </w:pPr>
    <w:rPr>
      <w:rFonts w:ascii="仿宋_GB2312" w:hAnsi="宋体" w:eastAsia="仿宋_GB2312"/>
      <w:sz w:val="24"/>
    </w:rPr>
  </w:style>
  <w:style w:type="paragraph" w:styleId="739">
    <w:name w:val="table of figures"/>
    <w:basedOn w:val="700"/>
    <w:next w:val="700"/>
    <w:uiPriority w:val="99"/>
    <w:unhideWhenUsed/>
    <w:qFormat/>
  </w:style>
  <w:style w:type="paragraph" w:styleId="740">
    <w:name w:val="toc 2"/>
    <w:basedOn w:val="700"/>
    <w:next w:val="700"/>
    <w:uiPriority w:val="39"/>
    <w:unhideWhenUsed/>
    <w:qFormat/>
    <w:pPr>
      <w:ind w:left="283"/>
      <w:spacing w:after="57"/>
    </w:pPr>
  </w:style>
  <w:style w:type="paragraph" w:styleId="741">
    <w:name w:val="toc 9"/>
    <w:basedOn w:val="700"/>
    <w:next w:val="700"/>
    <w:uiPriority w:val="39"/>
    <w:unhideWhenUsed/>
    <w:qFormat/>
    <w:pPr>
      <w:ind w:left="2268"/>
      <w:spacing w:after="57"/>
    </w:pPr>
  </w:style>
  <w:style w:type="paragraph" w:styleId="742">
    <w:name w:val="Body Text 2"/>
    <w:basedOn w:val="700"/>
    <w:uiPriority w:val="0"/>
    <w:qFormat/>
    <w:pPr>
      <w:jc w:val="center"/>
    </w:pPr>
    <w:rPr>
      <w:rFonts w:ascii="仿宋_GB2312" w:eastAsia="仿宋_GB2312"/>
      <w:sz w:val="44"/>
    </w:rPr>
  </w:style>
  <w:style w:type="paragraph" w:styleId="743">
    <w:name w:val="Message Header"/>
    <w:basedOn w:val="70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44">
    <w:name w:val="HTML Preformatted"/>
    <w:basedOn w:val="700"/>
    <w:link w:val="9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5">
    <w:name w:val="Normal (Web)"/>
    <w:basedOn w:val="700"/>
    <w:uiPriority w:val="0"/>
    <w:unhideWhenUsed/>
    <w:qFormat/>
    <w:pPr>
      <w:jc w:val="left"/>
      <w:spacing w:before="100" w:beforeAutospacing="1" w:after="100" w:afterAutospacing="1"/>
      <w:widowControl/>
    </w:pPr>
    <w:rPr>
      <w:rFonts w:ascii="宋体" w:hAnsi="宋体" w:cs="宋体"/>
      <w:sz w:val="24"/>
    </w:rPr>
  </w:style>
  <w:style w:type="paragraph" w:styleId="746">
    <w:name w:val="index 1"/>
    <w:basedOn w:val="700"/>
    <w:next w:val="700"/>
    <w:uiPriority w:val="0"/>
    <w:semiHidden/>
    <w:qFormat/>
    <w:rPr>
      <w:rFonts w:ascii="宋体" w:hAnsi="宋体"/>
      <w:szCs w:val="18"/>
    </w:rPr>
  </w:style>
  <w:style w:type="paragraph" w:styleId="747">
    <w:name w:val="Title"/>
    <w:basedOn w:val="700"/>
    <w:next w:val="700"/>
    <w:link w:val="795"/>
    <w:uiPriority w:val="10"/>
    <w:qFormat/>
    <w:pPr>
      <w:contextualSpacing/>
      <w:spacing w:before="300" w:after="200"/>
    </w:pPr>
    <w:rPr>
      <w:sz w:val="48"/>
      <w:szCs w:val="48"/>
    </w:rPr>
  </w:style>
  <w:style w:type="paragraph" w:styleId="748">
    <w:name w:val="annotation subject"/>
    <w:basedOn w:val="716"/>
    <w:next w:val="716"/>
    <w:link w:val="935"/>
    <w:uiPriority w:val="0"/>
    <w:qFormat/>
    <w:rPr>
      <w:b/>
      <w:bCs/>
    </w:rPr>
  </w:style>
  <w:style w:type="paragraph" w:styleId="749">
    <w:name w:val="Body Text First Indent 2"/>
    <w:basedOn w:val="720"/>
    <w:next w:val="700"/>
    <w:uiPriority w:val="0"/>
    <w:qFormat/>
    <w:pPr>
      <w:ind w:left="420" w:firstLine="420"/>
      <w:spacing w:before="100" w:beforeAutospacing="1" w:after="100" w:afterAutospacing="1"/>
      <w:widowControl/>
      <w:tabs>
        <w:tab w:val="left" w:pos="1080" w:leader="none"/>
        <w:tab w:val="center" w:pos="4393" w:leader="none"/>
        <w:tab w:val="left" w:pos="6774" w:leader="none"/>
      </w:tabs>
    </w:pPr>
    <w:rPr>
      <w:sz w:val="24"/>
    </w:rPr>
  </w:style>
  <w:style w:type="table" w:styleId="750">
    <w:name w:val="Table Grid"/>
    <w:basedOn w:val="711"/>
    <w:uiPriority w:val="0"/>
    <w:qFormat/>
    <w:pPr>
      <w:jc w:val="both"/>
      <w:widowControl w:val="off"/>
    </w:pPr>
    <w:tblPr>
      <w:tblCellMar>
        <w:left w:w="108" w:type="dxa"/>
        <w:top w:w="0" w:type="dxa"/>
        <w:right w:w="108" w:type="dxa"/>
        <w:bottom w:w="0" w:type="dxa"/>
      </w:tblCellMar>
    </w:tblPr>
  </w:style>
  <w:style w:type="character" w:styleId="751">
    <w:name w:val="Strong"/>
    <w:uiPriority w:val="0"/>
    <w:qFormat/>
    <w:rPr>
      <w:b/>
      <w:bCs/>
    </w:rPr>
  </w:style>
  <w:style w:type="character" w:styleId="752">
    <w:name w:val="endnote reference"/>
    <w:uiPriority w:val="99"/>
    <w:semiHidden/>
    <w:unhideWhenUsed/>
    <w:qFormat/>
    <w:rPr>
      <w:vertAlign w:val="superscript"/>
    </w:rPr>
  </w:style>
  <w:style w:type="character" w:styleId="753">
    <w:name w:val="page number"/>
    <w:basedOn w:val="710"/>
    <w:uiPriority w:val="0"/>
    <w:qFormat/>
  </w:style>
  <w:style w:type="character" w:styleId="754">
    <w:name w:val="HTML Definition"/>
    <w:uiPriority w:val="0"/>
    <w:qFormat/>
  </w:style>
  <w:style w:type="character" w:styleId="755">
    <w:name w:val="HTML Typewriter"/>
    <w:uiPriority w:val="0"/>
    <w:qFormat/>
    <w:rPr>
      <w:rFonts w:ascii="monospace" w:hAnsi="monospace" w:eastAsia="monospace" w:cs="monospace"/>
      <w:sz w:val="20"/>
    </w:rPr>
  </w:style>
  <w:style w:type="character" w:styleId="756">
    <w:name w:val="HTML Acronym"/>
    <w:basedOn w:val="710"/>
    <w:uiPriority w:val="0"/>
    <w:qFormat/>
  </w:style>
  <w:style w:type="character" w:styleId="757">
    <w:name w:val="HTML Variable"/>
    <w:uiPriority w:val="0"/>
    <w:qFormat/>
  </w:style>
  <w:style w:type="character" w:styleId="758">
    <w:name w:val="Hyperlink"/>
    <w:uiPriority w:val="99"/>
    <w:qFormat/>
    <w:rPr>
      <w:color w:val="0000ff"/>
      <w:u w:val="none"/>
    </w:rPr>
  </w:style>
  <w:style w:type="character" w:styleId="759">
    <w:name w:val="HTML Code"/>
    <w:uiPriority w:val="0"/>
    <w:qFormat/>
    <w:rPr>
      <w:rFonts w:ascii="monospace" w:hAnsi="monospace" w:eastAsia="monospace" w:cs="monospace"/>
      <w:sz w:val="20"/>
    </w:rPr>
  </w:style>
  <w:style w:type="character" w:styleId="760">
    <w:name w:val="annotation reference"/>
    <w:uiPriority w:val="0"/>
    <w:qFormat/>
    <w:rPr>
      <w:sz w:val="21"/>
      <w:szCs w:val="21"/>
    </w:rPr>
  </w:style>
  <w:style w:type="character" w:styleId="761">
    <w:name w:val="HTML Cite"/>
    <w:uiPriority w:val="0"/>
    <w:qFormat/>
  </w:style>
  <w:style w:type="character" w:styleId="762">
    <w:name w:val="footnote reference"/>
    <w:uiPriority w:val="99"/>
    <w:unhideWhenUsed/>
    <w:qFormat/>
    <w:rPr>
      <w:vertAlign w:val="superscript"/>
    </w:rPr>
  </w:style>
  <w:style w:type="character" w:styleId="763">
    <w:name w:val="HTML Keyboard"/>
    <w:uiPriority w:val="0"/>
    <w:qFormat/>
    <w:rPr>
      <w:rFonts w:ascii="monospace" w:hAnsi="monospace" w:eastAsia="monospace" w:cs="monospace"/>
      <w:sz w:val="20"/>
    </w:rPr>
  </w:style>
  <w:style w:type="character" w:styleId="764">
    <w:name w:val="HTML Sample"/>
    <w:uiPriority w:val="0"/>
    <w:qFormat/>
    <w:rPr>
      <w:rFonts w:ascii="monospace" w:hAnsi="monospace" w:eastAsia="monospace" w:cs="monospace"/>
    </w:rPr>
  </w:style>
  <w:style w:type="paragraph" w:styleId="765" w:customStyle="1">
    <w:name w:val="正文1"/>
    <w:basedOn w:val="766"/>
    <w:next w:val="700"/>
    <w:uiPriority w:val="0"/>
    <w:qFormat/>
    <w:pPr>
      <w:ind w:firstLine="0"/>
      <w:spacing w:line="500" w:lineRule="exact"/>
    </w:pPr>
    <w:rPr>
      <w:rFonts w:hAnsi="新宋体"/>
    </w:rPr>
  </w:style>
  <w:style w:type="paragraph" w:styleId="766" w:customStyle="1">
    <w:name w:val="正文缩进1"/>
    <w:basedOn w:val="700"/>
    <w:uiPriority w:val="0"/>
    <w:qFormat/>
    <w:pPr>
      <w:ind w:firstLine="420"/>
      <w:spacing w:line="360" w:lineRule="atLeast"/>
    </w:pPr>
    <w:rPr>
      <w:szCs w:val="20"/>
    </w:rPr>
  </w:style>
  <w:style w:type="paragraph" w:styleId="767" w:customStyle="1">
    <w:name w:val="Quote1"/>
    <w:basedOn w:val="700"/>
    <w:next w:val="700"/>
    <w:uiPriority w:val="99"/>
    <w:qFormat/>
    <w:pPr>
      <w:ind w:left="864" w:right="864"/>
      <w:jc w:val="center"/>
      <w:spacing w:before="200" w:after="160"/>
      <w:widowControl/>
    </w:pPr>
    <w:rPr>
      <w:rFonts w:ascii="宋体"/>
      <w:i/>
      <w:color w:val="404040"/>
    </w:rPr>
  </w:style>
  <w:style w:type="character" w:styleId="768" w:customStyle="1">
    <w:name w:val="Heading 2 Char"/>
    <w:basedOn w:val="710"/>
    <w:uiPriority w:val="9"/>
    <w:qFormat/>
    <w:rPr>
      <w:rFonts w:ascii="Arial" w:hAnsi="Arial" w:eastAsia="Arial" w:cs="Arial"/>
      <w:sz w:val="34"/>
    </w:rPr>
  </w:style>
  <w:style w:type="character" w:styleId="769" w:customStyle="1">
    <w:name w:val="Heading 3 Char"/>
    <w:basedOn w:val="710"/>
    <w:uiPriority w:val="9"/>
    <w:qFormat/>
    <w:rPr>
      <w:rFonts w:ascii="Arial" w:hAnsi="Arial" w:eastAsia="Arial" w:cs="Arial"/>
      <w:sz w:val="30"/>
      <w:szCs w:val="30"/>
    </w:rPr>
  </w:style>
  <w:style w:type="character" w:styleId="770" w:customStyle="1">
    <w:name w:val="Heading 4 Char"/>
    <w:basedOn w:val="710"/>
    <w:uiPriority w:val="9"/>
    <w:qFormat/>
    <w:rPr>
      <w:rFonts w:ascii="Arial" w:hAnsi="Arial" w:eastAsia="Arial" w:cs="Arial"/>
      <w:b/>
      <w:bCs/>
      <w:sz w:val="26"/>
      <w:szCs w:val="26"/>
    </w:rPr>
  </w:style>
  <w:style w:type="character" w:styleId="771" w:customStyle="1">
    <w:name w:val="Heading 5 Char"/>
    <w:basedOn w:val="710"/>
    <w:uiPriority w:val="9"/>
    <w:qFormat/>
    <w:rPr>
      <w:rFonts w:ascii="Arial" w:hAnsi="Arial" w:eastAsia="Arial" w:cs="Arial"/>
      <w:b/>
      <w:bCs/>
      <w:sz w:val="24"/>
      <w:szCs w:val="24"/>
    </w:rPr>
  </w:style>
  <w:style w:type="character" w:styleId="772" w:customStyle="1">
    <w:name w:val="Heading 6 Char"/>
    <w:basedOn w:val="710"/>
    <w:uiPriority w:val="9"/>
    <w:qFormat/>
    <w:rPr>
      <w:rFonts w:ascii="Arial" w:hAnsi="Arial" w:eastAsia="Arial" w:cs="Arial"/>
      <w:b/>
      <w:bCs/>
      <w:sz w:val="22"/>
      <w:szCs w:val="22"/>
    </w:rPr>
  </w:style>
  <w:style w:type="character" w:styleId="773" w:customStyle="1">
    <w:name w:val="Heading 7 Char"/>
    <w:basedOn w:val="710"/>
    <w:uiPriority w:val="9"/>
    <w:qFormat/>
    <w:rPr>
      <w:rFonts w:ascii="Arial" w:hAnsi="Arial" w:eastAsia="Arial" w:cs="Arial"/>
      <w:b/>
      <w:bCs/>
      <w:i/>
      <w:iCs/>
      <w:sz w:val="22"/>
      <w:szCs w:val="22"/>
    </w:rPr>
  </w:style>
  <w:style w:type="character" w:styleId="774" w:customStyle="1">
    <w:name w:val="Heading 8 Char"/>
    <w:basedOn w:val="710"/>
    <w:uiPriority w:val="9"/>
    <w:qFormat/>
    <w:rPr>
      <w:rFonts w:ascii="Arial" w:hAnsi="Arial" w:eastAsia="Arial" w:cs="Arial"/>
      <w:i/>
      <w:iCs/>
      <w:sz w:val="22"/>
      <w:szCs w:val="22"/>
    </w:rPr>
  </w:style>
  <w:style w:type="character" w:styleId="775" w:customStyle="1">
    <w:name w:val="Heading 9 Char"/>
    <w:basedOn w:val="710"/>
    <w:uiPriority w:val="9"/>
    <w:qFormat/>
    <w:rPr>
      <w:rFonts w:ascii="Arial" w:hAnsi="Arial" w:eastAsia="Arial" w:cs="Arial"/>
      <w:i/>
      <w:iCs/>
      <w:sz w:val="21"/>
      <w:szCs w:val="21"/>
    </w:rPr>
  </w:style>
  <w:style w:type="character" w:styleId="776" w:customStyle="1">
    <w:name w:val="Title Char"/>
    <w:basedOn w:val="710"/>
    <w:uiPriority w:val="10"/>
    <w:qFormat/>
    <w:rPr>
      <w:sz w:val="48"/>
      <w:szCs w:val="48"/>
    </w:rPr>
  </w:style>
  <w:style w:type="character" w:styleId="777" w:customStyle="1">
    <w:name w:val="Quote Char"/>
    <w:uiPriority w:val="29"/>
    <w:qFormat/>
    <w:rPr>
      <w:i/>
    </w:rPr>
  </w:style>
  <w:style w:type="character" w:styleId="778" w:customStyle="1">
    <w:name w:val="Intense Quote Char"/>
    <w:uiPriority w:val="30"/>
    <w:qFormat/>
    <w:rPr>
      <w:i/>
    </w:rPr>
  </w:style>
  <w:style w:type="character" w:styleId="779" w:customStyle="1">
    <w:name w:val="Header Char"/>
    <w:basedOn w:val="710"/>
    <w:uiPriority w:val="99"/>
    <w:qFormat/>
  </w:style>
  <w:style w:type="character" w:styleId="780" w:customStyle="1">
    <w:name w:val="Caption Char"/>
    <w:uiPriority w:val="99"/>
    <w:qFormat/>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标题 11"/>
    <w:next w:val="700"/>
    <w:uiPriority w:val="0"/>
    <w:qFormat/>
    <w:pPr>
      <w:jc w:val="both"/>
      <w:keepNext/>
      <w:widowControl w:val="off"/>
      <w:outlineLvl w:val="0"/>
    </w:pPr>
    <w:rPr>
      <w:rFonts w:hint="default" w:ascii="楷体_GB2312" w:hAnsi="Times New Roman" w:eastAsia="楷体_GB2312" w:cs="Times New Roman"/>
      <w:sz w:val="28"/>
      <w:szCs w:val="20"/>
      <w:lang w:val="en-US" w:eastAsia="zh-CN" w:bidi="ar-SA"/>
    </w:rPr>
  </w:style>
  <w:style w:type="character" w:styleId="784" w:customStyle="1">
    <w:name w:val="Heading 1 Char"/>
    <w:uiPriority w:val="9"/>
    <w:qFormat/>
    <w:rPr>
      <w:rFonts w:ascii="Arial" w:hAnsi="Arial" w:eastAsia="Arial" w:cs="Arial"/>
      <w:sz w:val="40"/>
      <w:szCs w:val="40"/>
    </w:rPr>
  </w:style>
  <w:style w:type="character" w:styleId="785" w:customStyle="1">
    <w:name w:val="标题 2 Char"/>
    <w:link w:val="702"/>
    <w:uiPriority w:val="9"/>
    <w:qFormat/>
    <w:rPr>
      <w:rFonts w:ascii="Arial" w:hAnsi="Arial" w:eastAsia="Arial" w:cs="Arial"/>
      <w:sz w:val="34"/>
    </w:rPr>
  </w:style>
  <w:style w:type="character" w:styleId="786" w:customStyle="1">
    <w:name w:val="标题 3 Char"/>
    <w:link w:val="703"/>
    <w:uiPriority w:val="9"/>
    <w:qFormat/>
    <w:rPr>
      <w:rFonts w:ascii="Arial" w:hAnsi="Arial" w:eastAsia="Arial" w:cs="Arial"/>
      <w:sz w:val="30"/>
      <w:szCs w:val="30"/>
    </w:rPr>
  </w:style>
  <w:style w:type="character" w:styleId="787" w:customStyle="1">
    <w:name w:val="标题 4 Char"/>
    <w:link w:val="704"/>
    <w:uiPriority w:val="9"/>
    <w:qFormat/>
    <w:rPr>
      <w:rFonts w:ascii="Arial" w:hAnsi="Arial" w:eastAsia="Arial" w:cs="Arial"/>
      <w:b/>
      <w:bCs/>
      <w:sz w:val="26"/>
      <w:szCs w:val="26"/>
    </w:rPr>
  </w:style>
  <w:style w:type="character" w:styleId="788" w:customStyle="1">
    <w:name w:val="标题 5 Char"/>
    <w:link w:val="705"/>
    <w:uiPriority w:val="9"/>
    <w:qFormat/>
    <w:rPr>
      <w:rFonts w:ascii="Arial" w:hAnsi="Arial" w:eastAsia="Arial" w:cs="Arial"/>
      <w:b/>
      <w:bCs/>
      <w:sz w:val="24"/>
      <w:szCs w:val="24"/>
    </w:rPr>
  </w:style>
  <w:style w:type="character" w:styleId="789" w:customStyle="1">
    <w:name w:val="标题 6 Char"/>
    <w:link w:val="706"/>
    <w:uiPriority w:val="9"/>
    <w:qFormat/>
    <w:rPr>
      <w:rFonts w:ascii="Arial" w:hAnsi="Arial" w:eastAsia="Arial" w:cs="Arial"/>
      <w:b/>
      <w:bCs/>
      <w:sz w:val="22"/>
      <w:szCs w:val="22"/>
    </w:rPr>
  </w:style>
  <w:style w:type="character" w:styleId="790" w:customStyle="1">
    <w:name w:val="标题 7 Char"/>
    <w:link w:val="707"/>
    <w:uiPriority w:val="9"/>
    <w:qFormat/>
    <w:rPr>
      <w:rFonts w:ascii="Arial" w:hAnsi="Arial" w:eastAsia="Arial" w:cs="Arial"/>
      <w:b/>
      <w:bCs/>
      <w:i/>
      <w:iCs/>
      <w:sz w:val="22"/>
      <w:szCs w:val="22"/>
    </w:rPr>
  </w:style>
  <w:style w:type="character" w:styleId="791" w:customStyle="1">
    <w:name w:val="标题 8 Char"/>
    <w:link w:val="708"/>
    <w:uiPriority w:val="9"/>
    <w:qFormat/>
    <w:rPr>
      <w:rFonts w:ascii="Arial" w:hAnsi="Arial" w:eastAsia="Arial" w:cs="Arial"/>
      <w:i/>
      <w:iCs/>
      <w:sz w:val="22"/>
      <w:szCs w:val="22"/>
    </w:rPr>
  </w:style>
  <w:style w:type="character" w:styleId="792" w:customStyle="1">
    <w:name w:val="标题 9 Char"/>
    <w:link w:val="709"/>
    <w:uiPriority w:val="9"/>
    <w:qFormat/>
    <w:rPr>
      <w:rFonts w:ascii="Arial" w:hAnsi="Arial" w:eastAsia="Arial" w:cs="Arial"/>
      <w:i/>
      <w:iCs/>
      <w:sz w:val="21"/>
      <w:szCs w:val="21"/>
    </w:rPr>
  </w:style>
  <w:style w:type="paragraph" w:styleId="793">
    <w:name w:val="List Paragraph"/>
    <w:basedOn w:val="700"/>
    <w:uiPriority w:val="34"/>
    <w:qFormat/>
    <w:pPr>
      <w:contextualSpacing/>
      <w:ind w:left="720"/>
    </w:pPr>
  </w:style>
  <w:style w:type="paragraph" w:styleId="794">
    <w:name w:val="No Spacing"/>
    <w:uiPriority w:val="1"/>
    <w:qFormat/>
    <w:rPr>
      <w:rFonts w:hint="default" w:ascii="Calibri" w:hAnsi="Calibri" w:eastAsia="宋体" w:cs="Times New Roman"/>
      <w:lang w:val="en-US" w:eastAsia="zh-CN" w:bidi="ar-SA"/>
    </w:rPr>
  </w:style>
  <w:style w:type="character" w:styleId="795" w:customStyle="1">
    <w:name w:val="标题 Char"/>
    <w:link w:val="747"/>
    <w:uiPriority w:val="10"/>
    <w:qFormat/>
    <w:rPr>
      <w:sz w:val="48"/>
      <w:szCs w:val="48"/>
    </w:rPr>
  </w:style>
  <w:style w:type="character" w:styleId="796" w:customStyle="1">
    <w:name w:val="Subtitle Char"/>
    <w:uiPriority w:val="11"/>
    <w:qFormat/>
    <w:rPr>
      <w:sz w:val="24"/>
      <w:szCs w:val="24"/>
    </w:rPr>
  </w:style>
  <w:style w:type="paragraph" w:styleId="797">
    <w:name w:val="Quote"/>
    <w:basedOn w:val="700"/>
    <w:next w:val="700"/>
    <w:link w:val="798"/>
    <w:uiPriority w:val="29"/>
    <w:qFormat/>
    <w:pPr>
      <w:ind w:left="720" w:right="720"/>
    </w:pPr>
    <w:rPr>
      <w:i/>
    </w:rPr>
  </w:style>
  <w:style w:type="character" w:styleId="798" w:customStyle="1">
    <w:name w:val="引用 Char"/>
    <w:link w:val="797"/>
    <w:uiPriority w:val="29"/>
    <w:qFormat/>
    <w:rPr>
      <w:i/>
    </w:rPr>
  </w:style>
  <w:style w:type="paragraph" w:styleId="799">
    <w:name w:val="Intense Quote"/>
    <w:basedOn w:val="700"/>
    <w:next w:val="700"/>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Char"/>
    <w:link w:val="799"/>
    <w:uiPriority w:val="30"/>
    <w:qFormat/>
    <w:rPr>
      <w:i/>
    </w:rPr>
  </w:style>
  <w:style w:type="character" w:styleId="801" w:customStyle="1">
    <w:name w:val="页眉 Char"/>
    <w:link w:val="732"/>
    <w:uiPriority w:val="99"/>
    <w:qFormat/>
  </w:style>
  <w:style w:type="character" w:styleId="802" w:customStyle="1">
    <w:name w:val="Footer Char"/>
    <w:uiPriority w:val="99"/>
    <w:qFormat/>
  </w:style>
  <w:style w:type="character" w:styleId="803" w:customStyle="1">
    <w:name w:val="页脚 Char"/>
    <w:link w:val="731"/>
    <w:uiPriority w:val="99"/>
    <w:qFormat/>
  </w:style>
  <w:style w:type="table" w:styleId="80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7" w:customStyle="1">
    <w:name w:val="Plain Table 3"/>
    <w:uiPriority w:val="99"/>
    <w:qFormat/>
    <w:tblPr>
      <w:tblCellMar>
        <w:left w:w="0" w:type="dxa"/>
        <w:top w:w="0" w:type="dxa"/>
        <w:right w:w="0" w:type="dxa"/>
        <w:bottom w:w="0" w:type="dxa"/>
      </w:tblCellMar>
    </w:tblPr>
  </w:style>
  <w:style w:type="table" w:styleId="808" w:customStyle="1">
    <w:name w:val="Plain Table 4"/>
    <w:uiPriority w:val="99"/>
    <w:qFormat/>
    <w:tblPr>
      <w:tblCellMar>
        <w:left w:w="0" w:type="dxa"/>
        <w:top w:w="0" w:type="dxa"/>
        <w:right w:w="0" w:type="dxa"/>
        <w:bottom w:w="0" w:type="dxa"/>
      </w:tblCellMar>
    </w:tblPr>
  </w:style>
  <w:style w:type="table" w:styleId="809" w:customStyle="1">
    <w:name w:val="Plain Table 5"/>
    <w:uiPriority w:val="99"/>
    <w:qFormat/>
    <w:tblPr>
      <w:tblCellMar>
        <w:left w:w="0" w:type="dxa"/>
        <w:top w:w="0" w:type="dxa"/>
        <w:right w:w="0" w:type="dxa"/>
        <w:bottom w:w="0" w:type="dxa"/>
      </w:tblCellMar>
    </w:tblPr>
  </w:style>
  <w:style w:type="table" w:styleId="81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List Table 1 Light"/>
    <w:uiPriority w:val="99"/>
    <w:qFormat/>
    <w:tblPr>
      <w:tblCellMar>
        <w:left w:w="0" w:type="dxa"/>
        <w:top w:w="0" w:type="dxa"/>
        <w:right w:w="0" w:type="dxa"/>
        <w:bottom w:w="0" w:type="dxa"/>
      </w:tblCellMar>
    </w:tblPr>
  </w:style>
  <w:style w:type="table" w:styleId="860" w:customStyle="1">
    <w:name w:val="List Table 1 Light - Accent 1"/>
    <w:uiPriority w:val="99"/>
    <w:qFormat/>
    <w:tblPr>
      <w:tblCellMar>
        <w:left w:w="0" w:type="dxa"/>
        <w:top w:w="0" w:type="dxa"/>
        <w:right w:w="0" w:type="dxa"/>
        <w:bottom w:w="0" w:type="dxa"/>
      </w:tblCellMar>
    </w:tblPr>
  </w:style>
  <w:style w:type="table" w:styleId="861" w:customStyle="1">
    <w:name w:val="List Table 1 Light - Accent 2"/>
    <w:uiPriority w:val="99"/>
    <w:qFormat/>
    <w:tblPr>
      <w:tblCellMar>
        <w:left w:w="0" w:type="dxa"/>
        <w:top w:w="0" w:type="dxa"/>
        <w:right w:w="0" w:type="dxa"/>
        <w:bottom w:w="0" w:type="dxa"/>
      </w:tblCellMar>
    </w:tblPr>
  </w:style>
  <w:style w:type="table" w:styleId="862" w:customStyle="1">
    <w:name w:val="List Table 1 Light - Accent 3"/>
    <w:uiPriority w:val="99"/>
    <w:qFormat/>
    <w:tblPr>
      <w:tblCellMar>
        <w:left w:w="0" w:type="dxa"/>
        <w:top w:w="0" w:type="dxa"/>
        <w:right w:w="0" w:type="dxa"/>
        <w:bottom w:w="0" w:type="dxa"/>
      </w:tblCellMar>
    </w:tblPr>
  </w:style>
  <w:style w:type="table" w:styleId="863" w:customStyle="1">
    <w:name w:val="List Table 1 Light - Accent 4"/>
    <w:uiPriority w:val="99"/>
    <w:qFormat/>
    <w:tblPr>
      <w:tblCellMar>
        <w:left w:w="0" w:type="dxa"/>
        <w:top w:w="0" w:type="dxa"/>
        <w:right w:w="0" w:type="dxa"/>
        <w:bottom w:w="0" w:type="dxa"/>
      </w:tblCellMar>
    </w:tblPr>
  </w:style>
  <w:style w:type="table" w:styleId="864" w:customStyle="1">
    <w:name w:val="List Table 1 Light - Accent 5"/>
    <w:uiPriority w:val="99"/>
    <w:qFormat/>
    <w:tblPr>
      <w:tblCellMar>
        <w:left w:w="0" w:type="dxa"/>
        <w:top w:w="0" w:type="dxa"/>
        <w:right w:w="0" w:type="dxa"/>
        <w:bottom w:w="0" w:type="dxa"/>
      </w:tblCellMar>
    </w:tblPr>
  </w:style>
  <w:style w:type="table" w:styleId="865" w:customStyle="1">
    <w:name w:val="List Table 1 Light - Accent 6"/>
    <w:uiPriority w:val="99"/>
    <w:qFormat/>
    <w:tblPr>
      <w:tblCellMar>
        <w:left w:w="0" w:type="dxa"/>
        <w:top w:w="0" w:type="dxa"/>
        <w:right w:w="0" w:type="dxa"/>
        <w:bottom w:w="0" w:type="dxa"/>
      </w:tblCellMar>
    </w:tblPr>
  </w:style>
  <w:style w:type="table" w:styleId="86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Char"/>
    <w:link w:val="736"/>
    <w:uiPriority w:val="99"/>
    <w:qFormat/>
    <w:rPr>
      <w:sz w:val="18"/>
    </w:rPr>
  </w:style>
  <w:style w:type="character" w:styleId="930" w:customStyle="1">
    <w:name w:val="尾注文本 Char"/>
    <w:link w:val="729"/>
    <w:uiPriority w:val="99"/>
    <w:qFormat/>
    <w:rPr>
      <w:sz w:val="20"/>
    </w:rPr>
  </w:style>
  <w:style w:type="paragraph" w:styleId="931" w:customStyle="1">
    <w:name w:val="TOC Heading"/>
    <w:basedOn w:val="701"/>
    <w:next w:val="700"/>
    <w:uiPriority w:val="39"/>
    <w:qFormat/>
    <w:pPr>
      <w:jc w:val="left"/>
      <w:keepLines/>
      <w:spacing w:before="480" w:line="276" w:lineRule="auto"/>
      <w:widowControl/>
      <w:outlineLvl w:val="9"/>
    </w:pPr>
    <w:rPr>
      <w:rFonts w:ascii="Cambria" w:hAnsi="Cambria" w:eastAsia="宋体"/>
      <w:b/>
      <w:bCs/>
      <w:color w:val="365f91"/>
      <w:szCs w:val="28"/>
    </w:rPr>
  </w:style>
  <w:style w:type="character" w:styleId="932" w:customStyle="1">
    <w:name w:val="纯文本 Char"/>
    <w:link w:val="725"/>
    <w:uiPriority w:val="0"/>
    <w:qFormat/>
    <w:rPr>
      <w:rFonts w:ascii="宋体" w:hAnsi="Courier New"/>
      <w:sz w:val="21"/>
    </w:rPr>
  </w:style>
  <w:style w:type="character" w:styleId="933" w:customStyle="1">
    <w:name w:val="标题 1 Char"/>
    <w:link w:val="701"/>
    <w:uiPriority w:val="0"/>
    <w:qFormat/>
    <w:rPr>
      <w:rFonts w:ascii="楷体_GB2312" w:eastAsia="楷体_GB2312"/>
      <w:sz w:val="28"/>
      <w:lang w:val="en-US" w:eastAsia="zh-CN" w:bidi="ar-SA"/>
    </w:rPr>
  </w:style>
  <w:style w:type="character" w:styleId="934" w:customStyle="1">
    <w:name w:val="已访问的超链接1"/>
    <w:uiPriority w:val="0"/>
    <w:qFormat/>
    <w:rPr>
      <w:color w:val="800080"/>
      <w:u w:val="none"/>
    </w:rPr>
  </w:style>
  <w:style w:type="character" w:styleId="935" w:customStyle="1">
    <w:name w:val="批注主题 Char"/>
    <w:link w:val="748"/>
    <w:uiPriority w:val="0"/>
    <w:qFormat/>
    <w:rPr>
      <w:b/>
      <w:bCs/>
      <w:sz w:val="21"/>
      <w:szCs w:val="24"/>
    </w:rPr>
  </w:style>
  <w:style w:type="character" w:styleId="936" w:customStyle="1">
    <w:name w:val="hover"/>
    <w:uiPriority w:val="0"/>
    <w:qFormat/>
    <w:rPr>
      <w:color w:val="5fb878"/>
    </w:rPr>
  </w:style>
  <w:style w:type="character" w:styleId="937" w:customStyle="1">
    <w:name w:val="正文缩进 Char"/>
    <w:link w:val="713"/>
    <w:uiPriority w:val="0"/>
    <w:qFormat/>
    <w:rPr>
      <w:rFonts w:eastAsia="宋体"/>
      <w:sz w:val="21"/>
      <w:lang w:val="en-US" w:eastAsia="zh-CN" w:bidi="ar-SA"/>
    </w:rPr>
  </w:style>
  <w:style w:type="character" w:styleId="938" w:customStyle="1">
    <w:name w:val="hover2"/>
    <w:uiPriority w:val="0"/>
    <w:qFormat/>
    <w:rPr>
      <w:color w:val="ffffff"/>
    </w:rPr>
  </w:style>
  <w:style w:type="character" w:styleId="939"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940" w:customStyle="1">
    <w:name w:val="标题2 Char"/>
    <w:uiPriority w:val="0"/>
    <w:qFormat/>
    <w:rPr>
      <w:rFonts w:ascii="方正楷体_GBK" w:hAnsi="Book Antiqua" w:eastAsia="方正楷体_GBK"/>
      <w:sz w:val="32"/>
      <w:lang w:val="en-US" w:eastAsia="zh-CN" w:bidi="ar-SA"/>
    </w:rPr>
  </w:style>
  <w:style w:type="character" w:styleId="941" w:customStyle="1">
    <w:name w:val="批注文字 Char"/>
    <w:link w:val="716"/>
    <w:uiPriority w:val="0"/>
    <w:qFormat/>
    <w:rPr>
      <w:sz w:val="21"/>
      <w:szCs w:val="24"/>
    </w:rPr>
  </w:style>
  <w:style w:type="character" w:styleId="942" w:customStyle="1">
    <w:name w:val="NormalCharacter1"/>
    <w:uiPriority w:val="0"/>
    <w:qFormat/>
  </w:style>
  <w:style w:type="character" w:styleId="943" w:customStyle="1">
    <w:name w:val="副标题 Char"/>
    <w:link w:val="735"/>
    <w:uiPriority w:val="0"/>
    <w:qFormat/>
    <w:rPr>
      <w:rFonts w:ascii="Cambria" w:hAnsi="Cambria"/>
      <w:b/>
      <w:bCs/>
      <w:sz w:val="32"/>
      <w:szCs w:val="32"/>
    </w:rPr>
  </w:style>
  <w:style w:type="character" w:styleId="944" w:customStyle="1">
    <w:name w:val="hover1"/>
    <w:uiPriority w:val="0"/>
    <w:qFormat/>
    <w:rPr>
      <w:color w:val="5fb878"/>
    </w:rPr>
  </w:style>
  <w:style w:type="character" w:styleId="945"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46" w:customStyle="1">
    <w:name w:val="HTML 预设格式 Char"/>
    <w:link w:val="744"/>
    <w:uiPriority w:val="0"/>
    <w:qFormat/>
    <w:rPr>
      <w:rFonts w:ascii="黑体" w:hAnsi="Courier New" w:eastAsia="黑体" w:cs="Courier New"/>
    </w:rPr>
  </w:style>
  <w:style w:type="character" w:styleId="947" w:customStyle="1">
    <w:name w:val="列出段落 Char"/>
    <w:link w:val="948"/>
    <w:uiPriority w:val="0"/>
    <w:qFormat/>
    <w:rPr>
      <w:rFonts w:ascii="Calibri" w:hAnsi="Calibri"/>
      <w:sz w:val="24"/>
      <w:szCs w:val="24"/>
      <w:lang w:eastAsia="en-US" w:bidi="en-US"/>
    </w:rPr>
  </w:style>
  <w:style w:type="paragraph" w:styleId="948" w:customStyle="1">
    <w:name w:val="列出段落1"/>
    <w:basedOn w:val="700"/>
    <w:link w:val="947"/>
    <w:uiPriority w:val="0"/>
    <w:qFormat/>
    <w:pPr>
      <w:contextualSpacing/>
      <w:ind w:left="720"/>
      <w:jc w:val="left"/>
      <w:widowControl/>
    </w:pPr>
    <w:rPr>
      <w:sz w:val="24"/>
      <w:lang w:eastAsia="en-US" w:bidi="en-US"/>
    </w:rPr>
  </w:style>
  <w:style w:type="character" w:styleId="949" w:customStyle="1">
    <w:name w:val="jj1"/>
    <w:uiPriority w:val="0"/>
    <w:qFormat/>
    <w:rPr>
      <w:sz w:val="20"/>
      <w:szCs w:val="20"/>
      <w:u w:val="none"/>
    </w:rPr>
  </w:style>
  <w:style w:type="paragraph" w:styleId="950" w:customStyle="1">
    <w:name w:val="Char Char Char Char1 Char Char"/>
    <w:basedOn w:val="700"/>
    <w:uiPriority w:val="0"/>
    <w:qFormat/>
    <w:pPr>
      <w:tabs>
        <w:tab w:val="left" w:pos="360" w:leader="none"/>
      </w:tabs>
    </w:pPr>
    <w:rPr>
      <w:sz w:val="24"/>
    </w:rPr>
  </w:style>
  <w:style w:type="paragraph" w:styleId="951" w:customStyle="1">
    <w:name w:val="首行缩进"/>
    <w:basedOn w:val="700"/>
    <w:uiPriority w:val="0"/>
    <w:qFormat/>
    <w:pPr>
      <w:ind w:firstLine="480"/>
    </w:pPr>
    <w:rPr>
      <w:lang w:val="zh-CN"/>
    </w:rPr>
  </w:style>
  <w:style w:type="paragraph" w:styleId="952" w:customStyle="1">
    <w:name w:val="目录 71"/>
    <w:basedOn w:val="700"/>
    <w:next w:val="700"/>
    <w:uiPriority w:val="0"/>
    <w:semiHidden/>
    <w:qFormat/>
    <w:pPr>
      <w:ind w:left="2520"/>
    </w:pPr>
  </w:style>
  <w:style w:type="paragraph" w:styleId="953" w:customStyle="1">
    <w:name w:val="标题2"/>
    <w:basedOn w:val="700"/>
    <w:next w:val="700"/>
    <w:uiPriority w:val="0"/>
    <w:qFormat/>
    <w:pPr>
      <w:jc w:val="center"/>
    </w:pPr>
    <w:rPr>
      <w:rFonts w:eastAsia="方正楷体_GBK"/>
    </w:rPr>
  </w:style>
  <w:style w:type="paragraph" w:styleId="954" w:customStyle="1">
    <w:name w:val="纯文本2"/>
    <w:basedOn w:val="700"/>
    <w:uiPriority w:val="0"/>
    <w:qFormat/>
    <w:rPr>
      <w:rFonts w:ascii="宋体" w:hAnsi="Courier New" w:eastAsia="楷体_GB2312"/>
      <w:sz w:val="26"/>
      <w:szCs w:val="20"/>
    </w:rPr>
  </w:style>
  <w:style w:type="paragraph" w:styleId="955" w:customStyle="1">
    <w:name w:val="第四级"/>
    <w:basedOn w:val="700"/>
    <w:next w:val="700"/>
    <w:uiPriority w:val="0"/>
    <w:qFormat/>
    <w:pPr>
      <w:numPr>
        <w:ilvl w:val="3"/>
        <w:numId w:val="1"/>
      </w:numPr>
      <w:spacing w:line="360" w:lineRule="auto"/>
    </w:pPr>
    <w:rPr>
      <w:rFonts w:ascii="宋体" w:hAnsi="宋体" w:eastAsia="仿宋"/>
      <w:sz w:val="28"/>
      <w:szCs w:val="21"/>
    </w:rPr>
  </w:style>
  <w:style w:type="paragraph" w:styleId="956" w:customStyle="1">
    <w:name w:val="正文（缩进）"/>
    <w:basedOn w:val="700"/>
    <w:uiPriority w:val="0"/>
    <w:qFormat/>
    <w:pPr>
      <w:ind w:firstLine="480"/>
      <w:spacing w:before="156" w:after="156"/>
    </w:pPr>
  </w:style>
  <w:style w:type="paragraph" w:styleId="957" w:customStyle="1">
    <w:name w:val="MSG_EN_FONT_STYLE_NAME_TEMPLATE_ROLE_NUMBER MSG_EN_FONT_STYLE_NAME_BY_ROLE_TEXT 2"/>
    <w:basedOn w:val="700"/>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58" w:customStyle="1">
    <w:name w:val="目录 51"/>
    <w:basedOn w:val="700"/>
    <w:next w:val="700"/>
    <w:uiPriority w:val="0"/>
    <w:semiHidden/>
    <w:qFormat/>
    <w:pPr>
      <w:ind w:left="1680"/>
    </w:pPr>
  </w:style>
  <w:style w:type="paragraph" w:styleId="959" w:customStyle="1">
    <w:name w:val="正文_13"/>
    <w:uiPriority w:val="0"/>
    <w:qFormat/>
    <w:pPr>
      <w:jc w:val="both"/>
      <w:widowControl w:val="off"/>
    </w:pPr>
    <w:rPr>
      <w:rFonts w:hint="default" w:ascii="Calibri" w:hAnsi="Calibri" w:eastAsia="宋体" w:cs="Times New Roman"/>
      <w:sz w:val="21"/>
      <w:szCs w:val="24"/>
      <w:lang w:val="en-US" w:eastAsia="zh-CN" w:bidi="ar-SA"/>
    </w:rPr>
  </w:style>
  <w:style w:type="paragraph" w:styleId="960" w:customStyle="1">
    <w:name w:val="目录 91"/>
    <w:basedOn w:val="700"/>
    <w:next w:val="700"/>
    <w:uiPriority w:val="0"/>
    <w:semiHidden/>
    <w:qFormat/>
    <w:pPr>
      <w:ind w:left="3360"/>
    </w:pPr>
  </w:style>
  <w:style w:type="paragraph" w:styleId="961" w:customStyle="1">
    <w:name w:val="标题3"/>
    <w:basedOn w:val="700"/>
    <w:next w:val="700"/>
    <w:uiPriority w:val="0"/>
    <w:qFormat/>
    <w:rPr>
      <w:rFonts w:eastAsia="方正黑体_GBK"/>
    </w:rPr>
  </w:style>
  <w:style w:type="paragraph" w:styleId="962" w:customStyle="1">
    <w:name w:val="Char Char Char Char1 Char Char Char"/>
    <w:basedOn w:val="715"/>
    <w:uiPriority w:val="0"/>
    <w:qFormat/>
    <w:pPr>
      <w:spacing w:line="360" w:lineRule="auto"/>
    </w:pPr>
    <w:rPr>
      <w:rFonts w:ascii="Tahoma" w:hAnsi="Tahoma"/>
      <w:sz w:val="24"/>
    </w:rPr>
  </w:style>
  <w:style w:type="paragraph" w:styleId="963" w:customStyle="1">
    <w:name w:val="目录 41"/>
    <w:basedOn w:val="700"/>
    <w:next w:val="700"/>
    <w:uiPriority w:val="0"/>
    <w:semiHidden/>
    <w:qFormat/>
    <w:pPr>
      <w:ind w:left="1260"/>
    </w:pPr>
  </w:style>
  <w:style w:type="paragraph" w:styleId="964" w:customStyle="1">
    <w:name w:val="WPSOffice手动目录 1"/>
    <w:uiPriority w:val="0"/>
    <w:qFormat/>
    <w:rPr>
      <w:rFonts w:hint="default" w:ascii="Calibri" w:hAnsi="Calibri" w:eastAsia="宋体" w:cs="Times New Roman"/>
      <w:lang w:val="en-US" w:eastAsia="zh-CN" w:bidi="ar-SA"/>
    </w:rPr>
  </w:style>
  <w:style w:type="paragraph" w:styleId="965" w:customStyle="1">
    <w:name w:val="正文 第一章"/>
    <w:basedOn w:val="700"/>
    <w:next w:val="966"/>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66" w:customStyle="1">
    <w:name w:val="正文 1.1"/>
    <w:basedOn w:val="700"/>
    <w:next w:val="967"/>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67" w:customStyle="1">
    <w:name w:val="正文 1.1.1"/>
    <w:basedOn w:val="700"/>
    <w:next w:val="700"/>
    <w:uiPriority w:val="0"/>
    <w:qFormat/>
    <w:pPr>
      <w:numPr>
        <w:ilvl w:val="2"/>
        <w:numId w:val="1"/>
      </w:numPr>
      <w:spacing w:line="360" w:lineRule="auto"/>
      <w:outlineLvl w:val="2"/>
    </w:pPr>
    <w:rPr>
      <w:rFonts w:ascii="宋体" w:hAnsi="宋体"/>
      <w:color w:val="000000"/>
      <w:sz w:val="28"/>
      <w:szCs w:val="21"/>
    </w:rPr>
  </w:style>
  <w:style w:type="paragraph" w:styleId="968" w:customStyle="1">
    <w:name w:val="默认段落字体 Para Char Char Char Char Char Char Char Char Char1 Char Char Char Char Char Char Char"/>
    <w:basedOn w:val="715"/>
    <w:uiPriority w:val="0"/>
    <w:qFormat/>
    <w:rPr>
      <w:rFonts w:ascii="Tahoma" w:hAnsi="Tahoma"/>
      <w:sz w:val="24"/>
    </w:rPr>
  </w:style>
  <w:style w:type="paragraph" w:styleId="969"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970" w:customStyle="1">
    <w:name w:val="正文首行缩进1"/>
    <w:basedOn w:val="718"/>
    <w:next w:val="971"/>
    <w:uiPriority w:val="99"/>
    <w:unhideWhenUsed/>
    <w:qFormat/>
    <w:pPr>
      <w:ind w:firstLine="420"/>
    </w:pPr>
  </w:style>
  <w:style w:type="paragraph" w:styleId="971" w:customStyle="1">
    <w:name w:val="目录 61"/>
    <w:basedOn w:val="700"/>
    <w:next w:val="700"/>
    <w:uiPriority w:val="0"/>
    <w:semiHidden/>
    <w:qFormat/>
    <w:pPr>
      <w:ind w:left="2100"/>
    </w:pPr>
  </w:style>
  <w:style w:type="paragraph" w:styleId="972" w:customStyle="1">
    <w:name w:val="标题1"/>
    <w:basedOn w:val="700"/>
    <w:next w:val="700"/>
    <w:uiPriority w:val="0"/>
    <w:qFormat/>
    <w:pPr>
      <w:jc w:val="center"/>
      <w:spacing w:line="700" w:lineRule="atLeast"/>
      <w:tabs>
        <w:tab w:val="left" w:pos="9193" w:leader="none"/>
        <w:tab w:val="left" w:pos="9827" w:leader="none"/>
      </w:tabs>
    </w:pPr>
    <w:rPr>
      <w:rFonts w:eastAsia="方正小标宋_GBK"/>
      <w:sz w:val="44"/>
    </w:rPr>
  </w:style>
  <w:style w:type="paragraph" w:styleId="973" w:customStyle="1">
    <w:name w:val="段"/>
    <w:next w:val="700"/>
    <w:uiPriority w:val="0"/>
    <w:qFormat/>
    <w:pPr>
      <w:ind w:firstLine="200"/>
      <w:jc w:val="both"/>
    </w:pPr>
    <w:rPr>
      <w:rFonts w:hint="default" w:ascii="宋体" w:hAnsi="Calibri" w:eastAsia="宋体" w:cs="Times New Roman"/>
      <w:sz w:val="21"/>
      <w:lang w:val="en-US" w:eastAsia="zh-CN" w:bidi="ar-SA"/>
    </w:rPr>
  </w:style>
  <w:style w:type="paragraph" w:styleId="974" w:customStyle="1">
    <w:name w:val="HTML 预先格式化"/>
    <w:basedOn w:val="7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75" w:customStyle="1">
    <w:name w:val="目录 21"/>
    <w:basedOn w:val="700"/>
    <w:next w:val="700"/>
    <w:uiPriority w:val="39"/>
    <w:qFormat/>
    <w:pPr>
      <w:jc w:val="left"/>
      <w:spacing w:line="260" w:lineRule="exact"/>
      <w:tabs>
        <w:tab w:val="right" w:pos="9440" w:leader="dot"/>
      </w:tabs>
    </w:pPr>
    <w:rPr>
      <w:rFonts w:ascii="黑体" w:eastAsia="黑体"/>
      <w:b/>
      <w:bCs/>
      <w:smallCaps/>
      <w:sz w:val="18"/>
      <w:szCs w:val="44"/>
    </w:rPr>
  </w:style>
  <w:style w:type="paragraph" w:styleId="976" w:customStyle="1">
    <w:name w:val="Table Paragraph"/>
    <w:basedOn w:val="700"/>
    <w:uiPriority w:val="1"/>
    <w:qFormat/>
    <w:pPr>
      <w:jc w:val="left"/>
    </w:pPr>
    <w:rPr>
      <w:sz w:val="24"/>
    </w:rPr>
  </w:style>
  <w:style w:type="paragraph" w:styleId="977"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978" w:customStyle="1">
    <w:name w:val="正文空2格  1."/>
    <w:basedOn w:val="700"/>
    <w:uiPriority w:val="0"/>
    <w:qFormat/>
    <w:pPr>
      <w:ind w:firstLine="480"/>
      <w:spacing w:line="360" w:lineRule="auto"/>
    </w:pPr>
    <w:rPr>
      <w:rFonts w:ascii="宋体" w:eastAsia="仿宋" w:cs="宋体"/>
      <w:sz w:val="28"/>
      <w:szCs w:val="20"/>
    </w:rPr>
  </w:style>
  <w:style w:type="paragraph" w:styleId="979" w:customStyle="1">
    <w:name w:val="文档正文"/>
    <w:basedOn w:val="700"/>
    <w:uiPriority w:val="0"/>
    <w:unhideWhenUsed/>
    <w:qFormat/>
    <w:pPr>
      <w:ind w:firstLine="482"/>
      <w:spacing w:before="60" w:after="60" w:line="360" w:lineRule="auto"/>
    </w:pPr>
  </w:style>
  <w:style w:type="paragraph" w:styleId="980" w:customStyle="1">
    <w:name w:val="目录 31"/>
    <w:basedOn w:val="700"/>
    <w:next w:val="700"/>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81" w:customStyle="1">
    <w:name w:val="目录 81"/>
    <w:basedOn w:val="700"/>
    <w:next w:val="700"/>
    <w:uiPriority w:val="0"/>
    <w:semiHidden/>
    <w:qFormat/>
    <w:pPr>
      <w:ind w:left="2940"/>
    </w:pPr>
  </w:style>
  <w:style w:type="paragraph" w:styleId="982" w:customStyle="1">
    <w:name w:val="xl47"/>
    <w:basedOn w:val="70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83" w:customStyle="1">
    <w:name w:val="Coms Alinea"/>
    <w:uiPriority w:val="0"/>
    <w:qFormat/>
    <w:pPr>
      <w:widowControl w:val="off"/>
    </w:pPr>
    <w:rPr>
      <w:rFonts w:hint="default" w:ascii="Arial" w:hAnsi="Arial" w:eastAsia="宋体" w:cs="Arial"/>
      <w:lang w:val="en-US" w:eastAsia="zh-CN" w:bidi="ar-SA"/>
    </w:rPr>
  </w:style>
  <w:style w:type="paragraph" w:styleId="984" w:customStyle="1">
    <w:name w:val="目录 11"/>
    <w:basedOn w:val="700"/>
    <w:next w:val="700"/>
    <w:uiPriority w:val="39"/>
    <w:qFormat/>
    <w:pPr>
      <w:jc w:val="left"/>
      <w:spacing w:before="120" w:after="120" w:line="300" w:lineRule="exact"/>
      <w:tabs>
        <w:tab w:val="right" w:pos="9440" w:leader="dot"/>
      </w:tabs>
    </w:pPr>
    <w:rPr>
      <w:rFonts w:ascii="黑体" w:eastAsia="黑体"/>
      <w:b/>
      <w:caps/>
      <w:sz w:val="18"/>
      <w:szCs w:val="28"/>
    </w:rPr>
  </w:style>
  <w:style w:type="paragraph" w:styleId="985" w:customStyle="1">
    <w:name w:val="Char Char Char Char"/>
    <w:basedOn w:val="715"/>
    <w:uiPriority w:val="0"/>
    <w:qFormat/>
    <w:pPr>
      <w:spacing w:line="360" w:lineRule="auto"/>
    </w:pPr>
    <w:rPr>
      <w:rFonts w:ascii="Tahoma" w:hAnsi="Tahoma"/>
      <w:sz w:val="24"/>
    </w:rPr>
  </w:style>
  <w:style w:type="paragraph" w:styleId="986" w:customStyle="1">
    <w:name w:val="附录1"/>
    <w:uiPriority w:val="0"/>
    <w:qFormat/>
    <w:pPr>
      <w:numPr>
        <w:ilvl w:val="0"/>
        <w:numId w:val="2"/>
      </w:numPr>
      <w:spacing w:before="240" w:line="600" w:lineRule="atLeast"/>
    </w:pPr>
    <w:rPr>
      <w:rFonts w:hint="default" w:ascii="Calibri" w:hAnsi="Calibri" w:eastAsia="宋体" w:cs="Times New Roman"/>
      <w:b/>
      <w:i/>
      <w:sz w:val="28"/>
      <w:lang w:val="en-US" w:eastAsia="zh-CN" w:bidi="ar-SA"/>
    </w:rPr>
  </w:style>
  <w:style w:type="paragraph" w:styleId="987" w:customStyle="1">
    <w:name w:val="BioQuote Tekst"/>
    <w:basedOn w:val="700"/>
    <w:uiPriority w:val="0"/>
    <w:qFormat/>
    <w:pPr>
      <w:ind w:right="-1"/>
    </w:pPr>
    <w:rPr>
      <w:rFonts w:ascii="Arial" w:hAnsi="Arial"/>
      <w:sz w:val="22"/>
      <w:szCs w:val="20"/>
      <w:lang w:eastAsia="en-US"/>
    </w:rPr>
  </w:style>
  <w:style w:type="paragraph" w:styleId="988" w:customStyle="1">
    <w:name w:val="列出段落2"/>
    <w:basedOn w:val="700"/>
    <w:next w:val="700"/>
    <w:uiPriority w:val="34"/>
    <w:qFormat/>
    <w:pPr>
      <w:ind w:firstLine="420"/>
    </w:pPr>
    <w:rPr>
      <w:szCs w:val="22"/>
    </w:rPr>
  </w:style>
  <w:style w:type="paragraph" w:styleId="989" w:customStyle="1">
    <w:name w:val="Blockquote"/>
    <w:basedOn w:val="700"/>
    <w:uiPriority w:val="0"/>
    <w:qFormat/>
    <w:pPr>
      <w:ind w:left="360" w:right="360"/>
      <w:jc w:val="left"/>
      <w:spacing w:before="100" w:after="100"/>
    </w:pPr>
    <w:rPr>
      <w:sz w:val="24"/>
      <w:szCs w:val="20"/>
    </w:rPr>
  </w:style>
  <w:style w:type="paragraph" w:styleId="990" w:customStyle="1">
    <w:name w:val="普通正文"/>
    <w:basedOn w:val="700"/>
    <w:uiPriority w:val="0"/>
    <w:qFormat/>
    <w:pPr>
      <w:ind w:firstLine="480"/>
      <w:jc w:val="left"/>
      <w:spacing w:before="120" w:after="120" w:line="360" w:lineRule="auto"/>
    </w:pPr>
    <w:rPr>
      <w:rFonts w:ascii="Arial" w:hAnsi="Arial"/>
      <w:sz w:val="24"/>
    </w:rPr>
  </w:style>
  <w:style w:type="paragraph" w:styleId="991" w:customStyle="1">
    <w:name w:val="Char"/>
    <w:basedOn w:val="700"/>
    <w:uiPriority w:val="0"/>
    <w:qFormat/>
    <w:pPr>
      <w:tabs>
        <w:tab w:val="left" w:pos="360" w:leader="none"/>
      </w:tabs>
    </w:pPr>
    <w:rPr>
      <w:sz w:val="24"/>
    </w:rPr>
  </w:style>
  <w:style w:type="paragraph" w:styleId="992" w:customStyle="1">
    <w:name w:val="Char1"/>
    <w:basedOn w:val="700"/>
    <w:uiPriority w:val="0"/>
    <w:qFormat/>
    <w:rPr>
      <w:rFonts w:ascii="Tahoma" w:hAnsi="Tahoma"/>
      <w:sz w:val="24"/>
      <w:szCs w:val="20"/>
    </w:rPr>
  </w:style>
  <w:style w:type="table" w:styleId="993" w:customStyle="1">
    <w:name w:val="Table Normal"/>
    <w:uiPriority w:val="0"/>
    <w:semiHidden/>
    <w:unhideWhenUsed/>
    <w:qFormat/>
    <w:tblPr>
      <w:tblCellMar>
        <w:left w:w="0" w:type="dxa"/>
        <w:top w:w="0" w:type="dxa"/>
        <w:right w:w="0" w:type="dxa"/>
        <w:bottom w:w="0" w:type="dxa"/>
      </w:tblCellMar>
    </w:tblPr>
  </w:style>
  <w:style w:type="paragraph" w:styleId="994" w:customStyle="1">
    <w:name w:val="正文文本缩进1"/>
    <w:basedOn w:val="700"/>
    <w:next w:val="995"/>
    <w:uiPriority w:val="0"/>
    <w:qFormat/>
    <w:pPr>
      <w:ind w:firstLine="645"/>
    </w:pPr>
    <w:rPr>
      <w:rFonts w:ascii="楷体_GB2312" w:eastAsia="楷体_GB2312"/>
      <w:sz w:val="32"/>
      <w:szCs w:val="20"/>
    </w:rPr>
  </w:style>
  <w:style w:type="paragraph" w:styleId="995" w:customStyle="1">
    <w:name w:val="寄信人地址1"/>
    <w:basedOn w:val="700"/>
    <w:uiPriority w:val="99"/>
    <w:qFormat/>
    <w:rPr>
      <w:rFonts w:ascii="Arial" w:hAnsi="Arial"/>
    </w:rPr>
  </w:style>
  <w:style w:type="paragraph" w:styleId="996" w:customStyle="1">
    <w:name w:val="普通(网站)1"/>
    <w:basedOn w:val="700"/>
    <w:uiPriority w:val="0"/>
    <w:unhideWhenUsed/>
    <w:qFormat/>
    <w:pPr>
      <w:jc w:val="left"/>
      <w:spacing w:before="100" w:beforeAutospacing="1" w:after="100" w:afterAutospacing="1"/>
      <w:widowControl/>
    </w:pPr>
    <w:rPr>
      <w:rFonts w:ascii="宋体" w:hAnsi="宋体" w:cs="宋体"/>
      <w:sz w:val="24"/>
    </w:rPr>
  </w:style>
  <w:style w:type="paragraph" w:styleId="997" w:customStyle="1">
    <w:name w:val="WPSOffice手动目录 2"/>
    <w:uiPriority w:val="0"/>
    <w:qFormat/>
    <w:rPr>
      <w:rFonts w:hint="default" w:ascii="Times New Roman" w:hAnsi="Times New Roman" w:eastAsia="宋体" w:cs="Times New Roman"/>
      <w:sz w:val="20"/>
      <w:szCs w:val="20"/>
    </w:rPr>
  </w:style>
  <w:style w:type="paragraph" w:styleId="998" w:customStyle="1">
    <w:name w:val="页脚1"/>
    <w:basedOn w:val="700"/>
    <w:uiPriority w:val="0"/>
    <w:qFormat/>
    <w:pPr>
      <w:jc w:val="left"/>
      <w:tabs>
        <w:tab w:val="center" w:pos="4153" w:leader="none"/>
        <w:tab w:val="right" w:pos="8306" w:leader="none"/>
      </w:tabs>
    </w:pPr>
    <w:rPr>
      <w:sz w:val="18"/>
      <w:szCs w:val="18"/>
    </w:rPr>
  </w:style>
  <w:style w:type="numbering" w:styleId="134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CF0A8D7-35C7-423F-A8D1-79B539CAAA9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杨洋</cp:lastModifiedBy>
  <cp:revision>29</cp:revision>
  <dcterms:created xsi:type="dcterms:W3CDTF">2024-01-25T01:08:00Z</dcterms:created>
  <dcterms:modified xsi:type="dcterms:W3CDTF">2025-12-31T01:59:03Z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C165343762D94425BDB66934E392F490_13</vt:lpwstr>
  </property>
  <property fmtid="{D5CDD505-2E9C-101B-9397-08002B2CF9AE}" pid="4" name="KSOTemplateDocerSaveRecord">
    <vt:lpwstr>eyJoZGlkIjoiZGNhNTc1ZWVhMzA0YTMwNTc1YmIzZmQ0MWIwMTM0MDciLCJ1c2VySWQiOiIyNzIxODk3NDkifQ==</vt:lpwstr>
  </property>
</Properties>
</file>